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1B6C8" w14:textId="77777777" w:rsidR="00730922" w:rsidRDefault="00000000">
      <w:pPr>
        <w:keepNext/>
        <w:pBdr>
          <w:top w:val="nil"/>
          <w:left w:val="nil"/>
          <w:bottom w:val="nil"/>
          <w:right w:val="nil"/>
          <w:between w:val="nil"/>
        </w:pBdr>
        <w:tabs>
          <w:tab w:val="left" w:pos="907"/>
        </w:tabs>
        <w:spacing w:before="70" w:after="160"/>
        <w:jc w:val="center"/>
        <w:rPr>
          <w:rFonts w:ascii="Roboto" w:eastAsia="Roboto" w:hAnsi="Roboto" w:cs="Roboto"/>
          <w:b w:val="0"/>
          <w:i w:val="0"/>
          <w:color w:val="000000"/>
          <w:sz w:val="32"/>
          <w:szCs w:val="32"/>
        </w:rPr>
      </w:pPr>
      <w:r>
        <w:rPr>
          <w:rFonts w:ascii="Roboto" w:eastAsia="Roboto" w:hAnsi="Roboto" w:cs="Roboto"/>
          <w:b w:val="0"/>
          <w:i w:val="0"/>
          <w:color w:val="000000"/>
          <w:sz w:val="32"/>
          <w:szCs w:val="32"/>
        </w:rPr>
        <w:t>Contrat de relation presse</w:t>
      </w:r>
    </w:p>
    <w:p w14:paraId="03CDF8E4" w14:textId="77777777" w:rsidR="00730922" w:rsidRDefault="00730922">
      <w:pPr>
        <w:keepNext/>
        <w:pBdr>
          <w:top w:val="nil"/>
          <w:left w:val="nil"/>
          <w:bottom w:val="nil"/>
          <w:right w:val="nil"/>
          <w:between w:val="nil"/>
        </w:pBdr>
        <w:tabs>
          <w:tab w:val="left" w:pos="907"/>
        </w:tabs>
        <w:spacing w:before="70" w:after="160"/>
        <w:jc w:val="center"/>
        <w:rPr>
          <w:rFonts w:ascii="Roboto" w:eastAsia="Roboto" w:hAnsi="Roboto" w:cs="Roboto"/>
          <w:b w:val="0"/>
          <w:i w:val="0"/>
          <w:color w:val="000000"/>
          <w:sz w:val="32"/>
          <w:szCs w:val="32"/>
        </w:rPr>
      </w:pPr>
    </w:p>
    <w:p w14:paraId="0FD1FB54"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présent Contrat est conclu entre :</w:t>
      </w:r>
    </w:p>
    <w:p w14:paraId="05A37759" w14:textId="77777777" w:rsidR="00730922" w:rsidRDefault="00730922">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p>
    <w:p w14:paraId="6B263CCA"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i w:val="0"/>
          <w:color w:val="000000"/>
          <w:sz w:val="24"/>
          <w:szCs w:val="24"/>
        </w:rPr>
      </w:pPr>
      <w:r>
        <w:rPr>
          <w:rFonts w:ascii="Roboto" w:eastAsia="Roboto" w:hAnsi="Roboto" w:cs="Roboto"/>
          <w:i w:val="0"/>
          <w:color w:val="000000"/>
          <w:sz w:val="24"/>
          <w:szCs w:val="24"/>
        </w:rPr>
        <w:t>LE CLIENT</w:t>
      </w:r>
    </w:p>
    <w:p w14:paraId="34F6F8B6" w14:textId="77777777" w:rsidR="00730922" w:rsidRDefault="00730922">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p>
    <w:p w14:paraId="01B0242E"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Et</w:t>
      </w:r>
    </w:p>
    <w:p w14:paraId="5D68A5D1" w14:textId="77777777" w:rsidR="00730922" w:rsidRDefault="00730922">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p>
    <w:p w14:paraId="12AE2A1C"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i w:val="0"/>
          <w:color w:val="000000"/>
          <w:sz w:val="24"/>
          <w:szCs w:val="24"/>
        </w:rPr>
        <w:t>LE CONSEIL EN RELATIONS PUBLIQUES</w:t>
      </w:r>
    </w:p>
    <w:p w14:paraId="3E921CDC"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1. Objet du contrat</w:t>
      </w:r>
    </w:p>
    <w:p w14:paraId="0669EF9A"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contrat a pour objet de déterminer les conditions selon lesquelles le client confie au conseil en relations publiques un rôle de conseil en communication et une mission de relations presse.</w:t>
      </w:r>
    </w:p>
    <w:p w14:paraId="2919ABF5"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La mission et le contenu détaillé des prestations qu’apportent le conseil sont définis à l’article 3 du présent contrat.</w:t>
      </w:r>
    </w:p>
    <w:p w14:paraId="58E694A5"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2. Durée et dénonciation du contrat</w:t>
      </w:r>
    </w:p>
    <w:p w14:paraId="20E15217"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Le présent contrat couvre une période déterminée d’un an, allant du </w:t>
      </w:r>
      <w:r>
        <w:rPr>
          <w:rFonts w:ascii="Roboto" w:eastAsia="Roboto" w:hAnsi="Roboto" w:cs="Roboto"/>
          <w:b w:val="0"/>
          <w:color w:val="7F7F7F"/>
          <w:sz w:val="24"/>
          <w:szCs w:val="24"/>
        </w:rPr>
        <w:t>(Date signature contrat)</w:t>
      </w:r>
      <w:r>
        <w:rPr>
          <w:rFonts w:ascii="Roboto" w:eastAsia="Roboto" w:hAnsi="Roboto" w:cs="Roboto"/>
          <w:b w:val="0"/>
          <w:i w:val="0"/>
          <w:color w:val="000000"/>
          <w:sz w:val="24"/>
          <w:szCs w:val="24"/>
        </w:rPr>
        <w:t xml:space="preserve"> au </w:t>
      </w:r>
      <w:r>
        <w:rPr>
          <w:rFonts w:ascii="Roboto" w:eastAsia="Roboto" w:hAnsi="Roboto" w:cs="Roboto"/>
          <w:b w:val="0"/>
          <w:color w:val="7F7F7F"/>
          <w:sz w:val="24"/>
          <w:szCs w:val="24"/>
        </w:rPr>
        <w:t>(Date fin contrat)</w:t>
      </w:r>
      <w:r>
        <w:rPr>
          <w:rFonts w:ascii="Roboto" w:eastAsia="Roboto" w:hAnsi="Roboto" w:cs="Roboto"/>
          <w:b w:val="0"/>
          <w:i w:val="0"/>
          <w:color w:val="000000"/>
          <w:sz w:val="24"/>
          <w:szCs w:val="24"/>
        </w:rPr>
        <w:t>.</w:t>
      </w:r>
    </w:p>
    <w:p w14:paraId="7F16EF27"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Ce contrat est renouvelable par tacite reconduction pour une période annuelle.</w:t>
      </w:r>
    </w:p>
    <w:p w14:paraId="2DE1B137"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Il est assorti d’une période d’essai de 3 mois prenant fin le </w:t>
      </w:r>
      <w:r>
        <w:rPr>
          <w:rFonts w:ascii="Roboto" w:eastAsia="Roboto" w:hAnsi="Roboto" w:cs="Roboto"/>
          <w:b w:val="0"/>
          <w:color w:val="7F7F7F"/>
          <w:sz w:val="24"/>
          <w:szCs w:val="24"/>
        </w:rPr>
        <w:t>(Date fin période d’essai)</w:t>
      </w:r>
      <w:r>
        <w:rPr>
          <w:rFonts w:ascii="Roboto" w:eastAsia="Roboto" w:hAnsi="Roboto" w:cs="Roboto"/>
          <w:b w:val="0"/>
          <w:i w:val="0"/>
          <w:color w:val="000000"/>
          <w:sz w:val="24"/>
          <w:szCs w:val="24"/>
        </w:rPr>
        <w:t>.</w:t>
      </w:r>
    </w:p>
    <w:p w14:paraId="4658632C"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présent contrat peut être dénoncé à tout moment par l’une ou l’autre des deux parties, avec un préavis de trois mois, par lettre recommandée avec accusé de réception. Durant la période d’essai, ce préavis est ramené à 1 mois.</w:t>
      </w:r>
    </w:p>
    <w:p w14:paraId="47E160CE"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En cas de faute grave telle que définie par la jurisprudence actuelle, ou en cas d’inexécution par l’une ou l’autre des parties de ses obligations contractuelles, le présent contrat sera résolu de plein droit.</w:t>
      </w:r>
    </w:p>
    <w:p w14:paraId="2C4BA62A"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3. Définition de la mission</w:t>
      </w:r>
    </w:p>
    <w:p w14:paraId="6D325F3D"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client confie au conseil en relations publiques ses relations presse. Celles-ci comprennent la conception, l’exécution, le suivi, le contrôle et le compte-rendu de la mission et des prestations définies par le présent contrat.</w:t>
      </w:r>
    </w:p>
    <w:p w14:paraId="407C9A07"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Selon les termes de notre proposition [à joindre en annexe], le prestataire s’engage à apporter au client : le conseil permanent et le suivi des relations presse du client à savoir :</w:t>
      </w:r>
    </w:p>
    <w:p w14:paraId="072DC38E"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conseils et recommandations par une équipe composée d’un directeur Conseil, d’une attachée de presse et d’un consultant,</w:t>
      </w:r>
    </w:p>
    <w:p w14:paraId="01B3DD3B"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soutien de conseil pour l’élaboration et mise en œuvre d’un plan d’actions presse,</w:t>
      </w:r>
    </w:p>
    <w:p w14:paraId="6C3ACE36"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suivi des calendriers rédactionnels sur une sélection des titres,</w:t>
      </w:r>
    </w:p>
    <w:p w14:paraId="2705ED26"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création, suivi et actualisation de listes presse ciblées et spécifiques (selon les besoins),</w:t>
      </w:r>
    </w:p>
    <w:p w14:paraId="29679B34"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suivi et actualisation du dossier de presse,</w:t>
      </w:r>
    </w:p>
    <w:p w14:paraId="06B9EFEA"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sélection et suivi de traduction des communiqués (selon les besoins),</w:t>
      </w:r>
    </w:p>
    <w:p w14:paraId="26358534"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lastRenderedPageBreak/>
        <w:t>– rédaction des communiqués français,</w:t>
      </w:r>
    </w:p>
    <w:p w14:paraId="6E43E146"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envoi aux journalistes des communiqués et informations,</w:t>
      </w:r>
    </w:p>
    <w:p w14:paraId="3D261BE9"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organisation d’interviews et de rencontres personnalisées,</w:t>
      </w:r>
    </w:p>
    <w:p w14:paraId="7A099F9E"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suivi systématique de ces envois et relances téléphoniques des principaux journalistes,</w:t>
      </w:r>
    </w:p>
    <w:p w14:paraId="5E3D78C4"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suivi et réalisation d’événements presse,</w:t>
      </w:r>
    </w:p>
    <w:p w14:paraId="774EE785"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envoi des informations aux journalistes et aux supports chaque fois que nécessaire,</w:t>
      </w:r>
    </w:p>
    <w:p w14:paraId="2914BDDF"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suivi systématique de l’envoi d’information sur les principaux titres,</w:t>
      </w:r>
    </w:p>
    <w:p w14:paraId="1BC4E4DD"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contacts réguliers avec les journalistes,</w:t>
      </w:r>
    </w:p>
    <w:p w14:paraId="6B8CA562"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suivi mensuel des plannings rédactionnels des 3 prochains mois pour les principaux titres,</w:t>
      </w:r>
    </w:p>
    <w:p w14:paraId="0DB19C29"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participation aux réunions de travail (sur la base d’une par mois),</w:t>
      </w:r>
    </w:p>
    <w:p w14:paraId="71C09899"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rapport d’activité mensuel,</w:t>
      </w:r>
    </w:p>
    <w:p w14:paraId="04AB1F45"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envoi quotidien des coupures les plus significatives,</w:t>
      </w:r>
    </w:p>
    <w:p w14:paraId="33DB4CF2"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press-book régulier avec toutes les coupures.</w:t>
      </w:r>
    </w:p>
    <w:p w14:paraId="7F23A033"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4. Droits et obligations du client</w:t>
      </w:r>
    </w:p>
    <w:p w14:paraId="14C5BEE3"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conseil en relations publiques doit pouvoir accéder à toute source d’information et aux documents dont la connaissance est nécessaire à l’accomplissement de sa tâche afin de pouvoir être associé à l’activité du client, d’être en mesure de mieux comprendre les rouages et les objectifs et d’être ainsi en position de mieux formuler ses recommandations.</w:t>
      </w:r>
    </w:p>
    <w:p w14:paraId="0138D5C6"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En particulier, le client s’engage à fournir au prestataire des informations destinées à faire l’objet de communications auprès de la presse dans le cadre des objectifs définis. Ces informations feront l’objet d’une première mise en forme.</w:t>
      </w:r>
    </w:p>
    <w:p w14:paraId="7C6DAF18"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Les droits de propriété portant sur les supports écrits ou visuels, sur les documents, les photos ou les réalisations diverses effectuées dans le cadre du présent contrat deviennent la propriété exclusive et totale du client pour la durée et l’objet prévus contractuellement, dès lors que les honoraires et prestations techniques afférentes ont été réglés intégralement.</w:t>
      </w:r>
    </w:p>
    <w:p w14:paraId="16E32555"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5. Droits et obligations du conseil</w:t>
      </w:r>
    </w:p>
    <w:p w14:paraId="231BE567"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conseil en relations publiques n’a aucune obligation de vérifier les informations qui lui sont transmises par le client, le client étant seul responsable.</w:t>
      </w:r>
    </w:p>
    <w:p w14:paraId="003C6AC0"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conseil en relations publiques, ainsi que son personnel et ses prestataires extérieurs éventuels, s’engagent à tenir confidentielles, tant pendant la durée du contrat qu’après son expiration, et sauf autorisation expresse du client, toutes informations dont le conseil aura eu connaissance sur l’activité du client, ainsi que sur les actions, budgets et créations dont il est chargé.</w:t>
      </w:r>
    </w:p>
    <w:p w14:paraId="28D8026C"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conseil en relations publiques s’engage à effectuer sa mission selon les règles de l’art de sa profession, sa responsabilité ne pouvant être engagée que sur des opérations dont elle a l’entier contrôle.</w:t>
      </w:r>
    </w:p>
    <w:p w14:paraId="01E1A555"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 conseil en relations publiques s’engage à ne pas collaborer avec des sociétés dont l’activité est directement concurrente de celle du client.</w:t>
      </w:r>
    </w:p>
    <w:p w14:paraId="4890634D"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Tous les fichiers élaborés par le prestataire (fichiers presse ou de personnalités) restent sa propriété. Néanmoins, le client a le droit de les consulter autant qu’il le souhaite dans </w:t>
      </w:r>
      <w:r>
        <w:rPr>
          <w:rFonts w:ascii="Roboto" w:eastAsia="Roboto" w:hAnsi="Roboto" w:cs="Roboto"/>
          <w:b w:val="0"/>
          <w:i w:val="0"/>
          <w:color w:val="000000"/>
          <w:sz w:val="24"/>
          <w:szCs w:val="24"/>
        </w:rPr>
        <w:lastRenderedPageBreak/>
        <w:t>le cadre de sa collaboration. Le prestataire reste propriétaire de son savoir-faire et des méthodologies qui ont été développées pour l’exécution du présent contrat.</w:t>
      </w:r>
    </w:p>
    <w:p w14:paraId="663E6E5E"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6. Rémunération du conseil</w:t>
      </w:r>
    </w:p>
    <w:p w14:paraId="041D047D"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Selon notre proposition jointe en annexe, cette rémunération s’effectue sous forme d’honoraires mensuels d’un montant de </w:t>
      </w:r>
      <w:r>
        <w:rPr>
          <w:rFonts w:ascii="Roboto" w:eastAsia="Roboto" w:hAnsi="Roboto" w:cs="Roboto"/>
          <w:b w:val="0"/>
          <w:color w:val="7F7F7F"/>
          <w:sz w:val="24"/>
          <w:szCs w:val="24"/>
        </w:rPr>
        <w:t>(Montant des honoraires HT)</w:t>
      </w:r>
      <w:r>
        <w:rPr>
          <w:rFonts w:ascii="Roboto" w:eastAsia="Roboto" w:hAnsi="Roboto" w:cs="Roboto"/>
          <w:b w:val="0"/>
          <w:i w:val="0"/>
          <w:color w:val="000000"/>
          <w:sz w:val="24"/>
          <w:szCs w:val="24"/>
        </w:rPr>
        <w:t xml:space="preserve"> euros H.T. Ces honoraires feront l’objet d’une facturation adressée au client au début de chaque trimestre et payable à 30 jours, soit 4 échéances de </w:t>
      </w:r>
      <w:r>
        <w:rPr>
          <w:rFonts w:ascii="Roboto" w:eastAsia="Roboto" w:hAnsi="Roboto" w:cs="Roboto"/>
          <w:b w:val="0"/>
          <w:color w:val="7F7F7F"/>
          <w:sz w:val="24"/>
          <w:szCs w:val="24"/>
        </w:rPr>
        <w:t>(Montant créance)</w:t>
      </w:r>
      <w:r>
        <w:rPr>
          <w:rFonts w:ascii="Roboto" w:eastAsia="Roboto" w:hAnsi="Roboto" w:cs="Roboto"/>
          <w:b w:val="0"/>
          <w:i w:val="0"/>
          <w:color w:val="000000"/>
          <w:sz w:val="24"/>
          <w:szCs w:val="24"/>
        </w:rPr>
        <w:t xml:space="preserve"> euros H.T.</w:t>
      </w:r>
    </w:p>
    <w:p w14:paraId="6841D7F2"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Ces honoraires ne comprennent pas les frais techniques prévus dans la proposition en annexe du présent contrat. Ils ne comprennent pas non plus les frais d’analyses presse qui pourraient être réalisés à la demande du client ou les frais de mission/réception éventuels non prévus dans la proposition, qui ne seraient engagés qu’après accord préalable du client.</w:t>
      </w:r>
    </w:p>
    <w:p w14:paraId="41064305"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Une facture payable à 30 jours, comprenant les frais techniques, les frais d’analyse presse qui pourrait être réalisée et les frais de mission/réception qui pourraient être engagés au cours du mois, sera envoyée en fin de chaque mois au client.</w:t>
      </w:r>
    </w:p>
    <w:p w14:paraId="2845E412"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Toute autre mission non prévue par le présent contrat (telle que manifestations, édition de brochures, voyages ou autre…) fera l’objet après acceptation d’un avenant au présent contrat et ne sera engagée qu’après acceptation.</w:t>
      </w:r>
    </w:p>
    <w:p w14:paraId="1C4B446F"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Les frais de voyage en France et à l’étranger (transport, hébergement, restauration) seront refacturés au client lorsque les déplacements sont demandés par ce dernier ou lorsque le conseil en relations publiques le jugera nécessaire au bon suivi des dossiers. Dans ce dernier cas, un devis sera soumis au client pour accord.</w:t>
      </w:r>
    </w:p>
    <w:p w14:paraId="0E8D0B27"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Les factures seront adressées, à l’adresse suivante : </w:t>
      </w:r>
      <w:r>
        <w:rPr>
          <w:rFonts w:ascii="Roboto" w:eastAsia="Roboto" w:hAnsi="Roboto" w:cs="Roboto"/>
          <w:b w:val="0"/>
          <w:color w:val="7F7F7F"/>
          <w:sz w:val="24"/>
          <w:szCs w:val="24"/>
        </w:rPr>
        <w:t>(Adresse)</w:t>
      </w:r>
      <w:r>
        <w:rPr>
          <w:rFonts w:ascii="Roboto" w:eastAsia="Roboto" w:hAnsi="Roboto" w:cs="Roboto"/>
          <w:b w:val="0"/>
          <w:i w:val="0"/>
          <w:color w:val="000000"/>
          <w:sz w:val="24"/>
          <w:szCs w:val="24"/>
        </w:rPr>
        <w:t>.</w:t>
      </w:r>
    </w:p>
    <w:p w14:paraId="53F18CD1"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En cas de non-paiement d’une facture à un seul de ses termes, le conseil en relations publiques se réserve le droit suspendre unilatéralement et sans préavis ses activités ou, s’il le juge nécessaire de rompre le présent contrat.</w:t>
      </w:r>
    </w:p>
    <w:p w14:paraId="74B409DC"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7. Modifications au contrat</w:t>
      </w:r>
    </w:p>
    <w:p w14:paraId="39EB3841"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Dans le cas où les parties sont d’accord pour une modification au contrat qui les lie, celle-ci s’effectuera par une lettre recommandée avec accusé de réception s’il n’y a pas d’incidences financières et par un avenant au contrat dans le cas contraire.</w:t>
      </w:r>
    </w:p>
    <w:p w14:paraId="0FD9EEDB" w14:textId="77777777" w:rsidR="00730922" w:rsidRDefault="00000000">
      <w:pPr>
        <w:pBdr>
          <w:top w:val="nil"/>
          <w:left w:val="nil"/>
          <w:bottom w:val="nil"/>
          <w:right w:val="nil"/>
          <w:between w:val="nil"/>
        </w:pBdr>
        <w:spacing w:before="260" w:after="140"/>
        <w:rPr>
          <w:rFonts w:ascii="Roboto" w:eastAsia="Roboto" w:hAnsi="Roboto" w:cs="Roboto"/>
          <w:b w:val="0"/>
          <w:i w:val="0"/>
          <w:color w:val="000000"/>
          <w:sz w:val="24"/>
          <w:szCs w:val="24"/>
        </w:rPr>
      </w:pPr>
      <w:r>
        <w:rPr>
          <w:rFonts w:ascii="Roboto" w:eastAsia="Roboto" w:hAnsi="Roboto" w:cs="Roboto"/>
          <w:i w:val="0"/>
          <w:color w:val="000000"/>
          <w:sz w:val="24"/>
          <w:szCs w:val="24"/>
        </w:rPr>
        <w:t>8. Litiges</w:t>
      </w:r>
    </w:p>
    <w:p w14:paraId="36AD07D9" w14:textId="77777777" w:rsidR="00730922" w:rsidRDefault="00000000">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En cas de litige sur l’interprétation et/ou sur l’exécution du présent contrat, les deux parties déclarent expressément reconnaître la compétence exclusive du Tribunal de Commerce de </w:t>
      </w:r>
      <w:r>
        <w:rPr>
          <w:rFonts w:ascii="Roboto" w:eastAsia="Roboto" w:hAnsi="Roboto" w:cs="Roboto"/>
          <w:b w:val="0"/>
          <w:color w:val="7F7F7F"/>
          <w:sz w:val="24"/>
          <w:szCs w:val="24"/>
        </w:rPr>
        <w:t>(Ville tribunal commerce)</w:t>
      </w:r>
      <w:r>
        <w:rPr>
          <w:rFonts w:ascii="Roboto" w:eastAsia="Roboto" w:hAnsi="Roboto" w:cs="Roboto"/>
          <w:b w:val="0"/>
          <w:i w:val="0"/>
          <w:color w:val="000000"/>
          <w:sz w:val="24"/>
          <w:szCs w:val="24"/>
        </w:rPr>
        <w:t>.</w:t>
      </w:r>
    </w:p>
    <w:p w14:paraId="2712E3D4" w14:textId="77777777" w:rsidR="00730922" w:rsidRDefault="00730922">
      <w:pPr>
        <w:pBdr>
          <w:top w:val="nil"/>
          <w:left w:val="nil"/>
          <w:bottom w:val="nil"/>
          <w:right w:val="nil"/>
          <w:between w:val="nil"/>
        </w:pBdr>
        <w:tabs>
          <w:tab w:val="left" w:pos="141"/>
        </w:tabs>
        <w:spacing w:before="60" w:after="0"/>
        <w:jc w:val="both"/>
        <w:rPr>
          <w:rFonts w:ascii="Roboto" w:eastAsia="Roboto" w:hAnsi="Roboto" w:cs="Roboto"/>
          <w:b w:val="0"/>
          <w:i w:val="0"/>
          <w:color w:val="000000"/>
          <w:sz w:val="24"/>
          <w:szCs w:val="24"/>
        </w:rPr>
      </w:pPr>
    </w:p>
    <w:p w14:paraId="1ABB073F"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r>
        <w:rPr>
          <w:rFonts w:ascii="Roboto" w:eastAsia="Roboto" w:hAnsi="Roboto" w:cs="Roboto"/>
          <w:b w:val="0"/>
          <w:i w:val="0"/>
          <w:color w:val="000000"/>
          <w:sz w:val="24"/>
          <w:szCs w:val="24"/>
        </w:rPr>
        <w:t xml:space="preserve">Fait à </w:t>
      </w:r>
      <w:r>
        <w:rPr>
          <w:rFonts w:ascii="Roboto" w:eastAsia="Roboto" w:hAnsi="Roboto" w:cs="Roboto"/>
          <w:b w:val="0"/>
          <w:color w:val="7F7F7F"/>
          <w:sz w:val="24"/>
          <w:szCs w:val="24"/>
        </w:rPr>
        <w:t>(Ville document)</w:t>
      </w:r>
      <w:r>
        <w:rPr>
          <w:rFonts w:ascii="Roboto" w:eastAsia="Roboto" w:hAnsi="Roboto" w:cs="Roboto"/>
          <w:b w:val="0"/>
          <w:i w:val="0"/>
          <w:color w:val="000000"/>
          <w:sz w:val="24"/>
          <w:szCs w:val="24"/>
        </w:rPr>
        <w:t xml:space="preserve">, le </w:t>
      </w:r>
      <w:r>
        <w:rPr>
          <w:rFonts w:ascii="Roboto" w:eastAsia="Roboto" w:hAnsi="Roboto" w:cs="Roboto"/>
          <w:b w:val="0"/>
          <w:color w:val="7F7F7F"/>
          <w:sz w:val="24"/>
          <w:szCs w:val="24"/>
        </w:rPr>
        <w:t>(Date de signature)</w:t>
      </w:r>
      <w:r>
        <w:rPr>
          <w:rFonts w:ascii="Roboto" w:eastAsia="Roboto" w:hAnsi="Roboto" w:cs="Roboto"/>
          <w:b w:val="0"/>
          <w:i w:val="0"/>
          <w:color w:val="000000"/>
          <w:sz w:val="24"/>
          <w:szCs w:val="24"/>
        </w:rPr>
        <w:t>.</w:t>
      </w:r>
    </w:p>
    <w:p w14:paraId="1411BD74" w14:textId="77777777" w:rsidR="00730922" w:rsidRDefault="00730922">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p>
    <w:p w14:paraId="079DBC26" w14:textId="77777777" w:rsidR="00730922" w:rsidRDefault="00000000">
      <w:pPr>
        <w:pBdr>
          <w:top w:val="nil"/>
          <w:left w:val="nil"/>
          <w:bottom w:val="nil"/>
          <w:right w:val="nil"/>
          <w:between w:val="nil"/>
        </w:pBdr>
        <w:tabs>
          <w:tab w:val="left" w:pos="141"/>
        </w:tabs>
        <w:spacing w:before="40" w:after="0"/>
        <w:jc w:val="both"/>
        <w:rPr>
          <w:rFonts w:ascii="Roboto" w:eastAsia="Roboto" w:hAnsi="Roboto" w:cs="Roboto"/>
          <w:b w:val="0"/>
          <w:i w:val="0"/>
          <w:color w:val="000000"/>
          <w:sz w:val="24"/>
          <w:szCs w:val="24"/>
        </w:rPr>
      </w:pPr>
      <w:bookmarkStart w:id="0" w:name="_heading=h.gjdgxs" w:colFirst="0" w:colLast="0"/>
      <w:bookmarkEnd w:id="0"/>
      <w:r>
        <w:rPr>
          <w:rFonts w:ascii="Roboto" w:eastAsia="Roboto" w:hAnsi="Roboto" w:cs="Roboto"/>
          <w:b w:val="0"/>
          <w:i w:val="0"/>
          <w:color w:val="000000"/>
          <w:sz w:val="24"/>
          <w:szCs w:val="24"/>
        </w:rPr>
        <w:t>Signatures des parties</w:t>
      </w:r>
    </w:p>
    <w:sectPr w:rsidR="00730922">
      <w:pgSz w:w="11907" w:h="16840"/>
      <w:pgMar w:top="1417" w:right="1276" w:bottom="1417" w:left="1276"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Neue">
    <w:panose1 w:val="02000503000000020004"/>
    <w:charset w:val="00"/>
    <w:family w:val="auto"/>
    <w:pitch w:val="variable"/>
    <w:sig w:usb0="E50002FF" w:usb1="500079DB" w:usb2="00000010" w:usb3="00000000" w:csb0="00000001" w:csb1="00000000"/>
  </w:font>
  <w:font w:name="Times">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922"/>
    <w:rsid w:val="00730922"/>
    <w:rsid w:val="00DC53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7D2BC83"/>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Neue" w:eastAsia="Helvetica Neue" w:hAnsi="Helvetica Neue" w:cs="Helvetica Neue"/>
        <w:b/>
        <w:i/>
        <w:sz w:val="26"/>
        <w:szCs w:val="26"/>
        <w:lang w:val="fr-FR" w:eastAsia="fr-FR" w:bidi="ar-SA"/>
      </w:rPr>
    </w:rPrDefault>
    <w:pPrDefault>
      <w:pPr>
        <w:spacing w:before="280"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tabs>
        <w:tab w:val="left" w:pos="377"/>
        <w:tab w:val="left" w:pos="1035"/>
        <w:tab w:val="left" w:pos="1755"/>
        <w:tab w:val="left" w:pos="2460"/>
        <w:tab w:val="left" w:pos="3167"/>
        <w:tab w:val="left" w:pos="3872"/>
        <w:tab w:val="left" w:pos="4578"/>
        <w:tab w:val="left" w:pos="5283"/>
        <w:tab w:val="left" w:pos="6709"/>
        <w:tab w:val="left" w:pos="7415"/>
        <w:tab w:val="left" w:pos="8120"/>
        <w:tab w:val="left" w:pos="8827"/>
        <w:tab w:val="left" w:pos="9532"/>
      </w:tabs>
      <w:outlineLvl w:val="0"/>
    </w:pPr>
    <w:rPr>
      <w:rFonts w:ascii="Times" w:eastAsia="Times" w:hAnsi="Times" w:cs="Times"/>
      <w:b w:val="0"/>
      <w:i w:val="0"/>
      <w:color w:val="808080"/>
      <w:sz w:val="36"/>
      <w:szCs w:val="36"/>
    </w:rPr>
  </w:style>
  <w:style w:type="paragraph" w:styleId="Titre2">
    <w:name w:val="heading 2"/>
    <w:basedOn w:val="Normal"/>
    <w:next w:val="Normal"/>
    <w:uiPriority w:val="9"/>
    <w:semiHidden/>
    <w:unhideWhenUsed/>
    <w:qFormat/>
    <w:pPr>
      <w:tabs>
        <w:tab w:val="left" w:pos="377"/>
        <w:tab w:val="left" w:pos="1035"/>
        <w:tab w:val="left" w:pos="1755"/>
        <w:tab w:val="left" w:pos="2460"/>
        <w:tab w:val="left" w:pos="3167"/>
        <w:tab w:val="left" w:pos="3872"/>
        <w:tab w:val="left" w:pos="4578"/>
        <w:tab w:val="left" w:pos="5283"/>
        <w:tab w:val="left" w:pos="6709"/>
        <w:tab w:val="left" w:pos="7415"/>
        <w:tab w:val="left" w:pos="8120"/>
        <w:tab w:val="left" w:pos="8827"/>
        <w:tab w:val="left" w:pos="9532"/>
      </w:tabs>
      <w:outlineLvl w:val="1"/>
    </w:pPr>
    <w:rPr>
      <w:rFonts w:ascii="Times" w:eastAsia="Times" w:hAnsi="Times" w:cs="Times"/>
      <w:b w:val="0"/>
      <w:i w:val="0"/>
      <w:color w:val="808080"/>
      <w:sz w:val="28"/>
      <w:szCs w:val="28"/>
    </w:rPr>
  </w:style>
  <w:style w:type="paragraph" w:styleId="Titre3">
    <w:name w:val="heading 3"/>
    <w:basedOn w:val="Normal"/>
    <w:next w:val="Normal"/>
    <w:uiPriority w:val="9"/>
    <w:semiHidden/>
    <w:unhideWhenUsed/>
    <w:qFormat/>
    <w:pPr>
      <w:tabs>
        <w:tab w:val="left" w:pos="185"/>
        <w:tab w:val="left" w:pos="521"/>
        <w:tab w:val="left" w:pos="906"/>
        <w:tab w:val="left" w:pos="1611"/>
        <w:tab w:val="left" w:pos="2317"/>
        <w:tab w:val="left" w:pos="3022"/>
        <w:tab w:val="left" w:pos="3728"/>
        <w:tab w:val="left" w:pos="4434"/>
        <w:tab w:val="left" w:pos="5154"/>
        <w:tab w:val="left" w:pos="5859"/>
        <w:tab w:val="left" w:pos="6566"/>
        <w:tab w:val="left" w:pos="7271"/>
        <w:tab w:val="left" w:pos="7976"/>
        <w:tab w:val="left" w:pos="8682"/>
        <w:tab w:val="left" w:pos="9403"/>
      </w:tabs>
      <w:outlineLvl w:val="2"/>
    </w:pPr>
    <w:rPr>
      <w:rFonts w:ascii="Times" w:eastAsia="Times" w:hAnsi="Times" w:cs="Times"/>
      <w:b w:val="0"/>
      <w:i w:val="0"/>
      <w:color w:val="808080"/>
    </w:rPr>
  </w:style>
  <w:style w:type="paragraph" w:styleId="Titre4">
    <w:name w:val="heading 4"/>
    <w:basedOn w:val="Normal"/>
    <w:next w:val="Normal"/>
    <w:uiPriority w:val="9"/>
    <w:semiHidden/>
    <w:unhideWhenUsed/>
    <w:qFormat/>
    <w:pPr>
      <w:tabs>
        <w:tab w:val="left" w:pos="185"/>
        <w:tab w:val="left" w:pos="521"/>
        <w:tab w:val="left" w:pos="906"/>
        <w:tab w:val="left" w:pos="1611"/>
        <w:tab w:val="left" w:pos="2317"/>
        <w:tab w:val="left" w:pos="3022"/>
        <w:tab w:val="left" w:pos="3728"/>
        <w:tab w:val="left" w:pos="4434"/>
        <w:tab w:val="left" w:pos="5154"/>
        <w:tab w:val="left" w:pos="5859"/>
        <w:tab w:val="left" w:pos="6566"/>
        <w:tab w:val="left" w:pos="7271"/>
        <w:tab w:val="left" w:pos="7976"/>
        <w:tab w:val="left" w:pos="8682"/>
        <w:tab w:val="left" w:pos="9403"/>
      </w:tabs>
      <w:outlineLvl w:val="3"/>
    </w:pPr>
    <w:rPr>
      <w:rFonts w:ascii="Times" w:eastAsia="Times" w:hAnsi="Times" w:cs="Times"/>
      <w:b w:val="0"/>
      <w:i w:val="0"/>
      <w:sz w:val="22"/>
      <w:szCs w:val="22"/>
    </w:rPr>
  </w:style>
  <w:style w:type="paragraph" w:styleId="Titre5">
    <w:name w:val="heading 5"/>
    <w:basedOn w:val="Normal"/>
    <w:next w:val="Normal"/>
    <w:uiPriority w:val="9"/>
    <w:semiHidden/>
    <w:unhideWhenUsed/>
    <w:qFormat/>
    <w:pPr>
      <w:tabs>
        <w:tab w:val="left" w:pos="272"/>
        <w:tab w:val="left" w:pos="977"/>
        <w:tab w:val="left" w:pos="1683"/>
        <w:tab w:val="left" w:pos="2389"/>
        <w:tab w:val="left" w:pos="3095"/>
        <w:tab w:val="left" w:pos="3814"/>
        <w:tab w:val="left" w:pos="4521"/>
        <w:tab w:val="left" w:pos="5226"/>
        <w:tab w:val="left" w:pos="5931"/>
        <w:tab w:val="left" w:pos="6637"/>
        <w:tab w:val="left" w:pos="7344"/>
        <w:tab w:val="left" w:pos="8063"/>
        <w:tab w:val="left" w:pos="8769"/>
        <w:tab w:val="left" w:pos="9474"/>
      </w:tabs>
      <w:outlineLvl w:val="4"/>
    </w:pPr>
    <w:rPr>
      <w:rFonts w:ascii="Times" w:eastAsia="Times" w:hAnsi="Times" w:cs="Times"/>
      <w:b w:val="0"/>
      <w:i w:val="0"/>
      <w:sz w:val="20"/>
      <w:szCs w:val="20"/>
    </w:rPr>
  </w:style>
  <w:style w:type="paragraph" w:styleId="Titre6">
    <w:name w:val="heading 6"/>
    <w:basedOn w:val="Normal"/>
    <w:next w:val="Normal"/>
    <w:uiPriority w:val="9"/>
    <w:semiHidden/>
    <w:unhideWhenUsed/>
    <w:qFormat/>
    <w:pPr>
      <w:tabs>
        <w:tab w:val="left" w:pos="74"/>
        <w:tab w:val="left" w:pos="646"/>
        <w:tab w:val="left" w:pos="793"/>
        <w:tab w:val="left" w:pos="1366"/>
        <w:tab w:val="left" w:pos="2087"/>
        <w:tab w:val="left" w:pos="2807"/>
        <w:tab w:val="left" w:pos="3527"/>
        <w:tab w:val="left" w:pos="4247"/>
        <w:tab w:val="left" w:pos="4967"/>
        <w:tab w:val="left" w:pos="5687"/>
        <w:tab w:val="left" w:pos="6407"/>
        <w:tab w:val="left" w:pos="7127"/>
        <w:tab w:val="left" w:pos="7847"/>
        <w:tab w:val="left" w:pos="8567"/>
        <w:tab w:val="left" w:pos="9287"/>
      </w:tabs>
      <w:ind w:left="88" w:hanging="705"/>
      <w:outlineLvl w:val="5"/>
    </w:pPr>
    <w:rPr>
      <w:rFonts w:ascii="Times" w:eastAsia="Times" w:hAnsi="Times" w:cs="Time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color w:val="666666"/>
      <w:sz w:val="48"/>
      <w:szCs w:val="48"/>
    </w:rPr>
  </w:style>
  <w:style w:type="paragraph" w:customStyle="1" w:styleId="paragraph">
    <w:name w:val="paragraph"/>
    <w:basedOn w:val="Normal"/>
    <w:rsid w:val="00152347"/>
    <w:pPr>
      <w:spacing w:before="100" w:beforeAutospacing="1" w:after="100" w:afterAutospacing="1"/>
    </w:pPr>
    <w:rPr>
      <w:rFonts w:ascii="Times New Roman" w:eastAsia="Times New Roman" w:hAnsi="Times New Roman" w:cs="Times New Roman"/>
      <w:b w:val="0"/>
      <w:i w:val="0"/>
      <w:sz w:val="24"/>
      <w:szCs w:val="24"/>
    </w:rPr>
  </w:style>
  <w:style w:type="character" w:customStyle="1" w:styleId="scxw137346434">
    <w:name w:val="scxw137346434"/>
    <w:basedOn w:val="Policepardfaut"/>
    <w:rsid w:val="00152347"/>
  </w:style>
  <w:style w:type="character" w:customStyle="1" w:styleId="eop">
    <w:name w:val="eop"/>
    <w:basedOn w:val="Policepardfaut"/>
    <w:rsid w:val="00152347"/>
  </w:style>
  <w:style w:type="character" w:customStyle="1" w:styleId="normaltextrun">
    <w:name w:val="normaltextrun"/>
    <w:basedOn w:val="Policepardfaut"/>
    <w:rsid w:val="001523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wFH+I3ASUmHZ+wu3eYOBvKTjdjQ==">AMUW2mXl09g5sscDgwI2K+d8rEEdUZ1uUMMUW/+vNoWHdZAegEPIBkd3s00mIzSV9mXAPjvDbok/dQUfOmbLgC6AIlguyLlP+nyXgJrQdMOvlDiw4Z1k/Gw9Iy7VFBX03lX3E7DcMDuA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1169</Words>
  <Characters>6431</Characters>
  <Application>Microsoft Office Word</Application>
  <DocSecurity>0</DocSecurity>
  <Lines>53</Lines>
  <Paragraphs>15</Paragraphs>
  <ScaleCrop>false</ScaleCrop>
  <Company/>
  <LinksUpToDate>false</LinksUpToDate>
  <CharactersWithSpaces>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2019-10-30T10:13:00Z</dcterms:created>
  <dcterms:modified xsi:type="dcterms:W3CDTF">2023-03-30T08:06:00Z</dcterms:modified>
</cp:coreProperties>
</file>