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B7EA9" w14:textId="77777777" w:rsidR="00C86B87" w:rsidRDefault="00000000">
      <w:pPr>
        <w:jc w:val="center"/>
        <w:rPr>
          <w:rFonts w:ascii="Roboto" w:eastAsia="Roboto" w:hAnsi="Roboto" w:cs="Roboto"/>
          <w:sz w:val="32"/>
          <w:szCs w:val="32"/>
        </w:rPr>
      </w:pPr>
      <w:bookmarkStart w:id="0" w:name="_heading=h.gjdgxs" w:colFirst="0" w:colLast="0"/>
      <w:bookmarkEnd w:id="0"/>
      <w:r>
        <w:rPr>
          <w:rFonts w:ascii="Roboto" w:eastAsia="Roboto" w:hAnsi="Roboto" w:cs="Roboto"/>
          <w:sz w:val="32"/>
          <w:szCs w:val="32"/>
        </w:rPr>
        <w:t>Informations sur la clause de réserve de propriété</w:t>
      </w:r>
    </w:p>
    <w:p w14:paraId="0006E83A" w14:textId="77777777" w:rsidR="00C86B87" w:rsidRDefault="00C86B87">
      <w:pPr>
        <w:jc w:val="center"/>
        <w:rPr>
          <w:rFonts w:ascii="Roboto" w:eastAsia="Roboto" w:hAnsi="Roboto" w:cs="Roboto"/>
          <w:sz w:val="32"/>
          <w:szCs w:val="32"/>
        </w:rPr>
      </w:pPr>
    </w:p>
    <w:p w14:paraId="2407A07C" w14:textId="77777777" w:rsidR="00C86B87" w:rsidRDefault="00C86B87">
      <w:pPr>
        <w:jc w:val="center"/>
        <w:rPr>
          <w:rFonts w:ascii="Roboto" w:eastAsia="Roboto" w:hAnsi="Roboto" w:cs="Roboto"/>
          <w:sz w:val="32"/>
          <w:szCs w:val="32"/>
        </w:rPr>
      </w:pPr>
    </w:p>
    <w:p w14:paraId="53A47D5A" w14:textId="77777777" w:rsidR="00C86B87" w:rsidRDefault="00000000">
      <w:pPr>
        <w:jc w:val="both"/>
        <w:rPr>
          <w:rFonts w:ascii="Roboto" w:eastAsia="Roboto" w:hAnsi="Roboto" w:cs="Roboto"/>
          <w:b/>
          <w:sz w:val="26"/>
          <w:szCs w:val="26"/>
        </w:rPr>
      </w:pPr>
      <w:r>
        <w:rPr>
          <w:rFonts w:ascii="Roboto" w:eastAsia="Roboto" w:hAnsi="Roboto" w:cs="Roboto"/>
          <w:b/>
          <w:sz w:val="26"/>
          <w:szCs w:val="26"/>
        </w:rPr>
        <w:t>I. DISPOSITION CONTRACTUELLE</w:t>
      </w:r>
    </w:p>
    <w:p w14:paraId="6869D809" w14:textId="77777777" w:rsidR="00C86B87" w:rsidRDefault="00C86B87">
      <w:pPr>
        <w:jc w:val="both"/>
        <w:rPr>
          <w:rFonts w:ascii="Roboto" w:eastAsia="Roboto" w:hAnsi="Roboto" w:cs="Roboto"/>
          <w:sz w:val="26"/>
          <w:szCs w:val="26"/>
        </w:rPr>
      </w:pPr>
    </w:p>
    <w:p w14:paraId="3F91B227" w14:textId="77777777" w:rsidR="00C86B87" w:rsidRDefault="00000000">
      <w:pPr>
        <w:pBdr>
          <w:top w:val="nil"/>
          <w:left w:val="nil"/>
          <w:bottom w:val="nil"/>
          <w:right w:val="nil"/>
          <w:between w:val="nil"/>
        </w:pBdr>
        <w:jc w:val="both"/>
        <w:rPr>
          <w:rFonts w:ascii="Roboto" w:eastAsia="Roboto" w:hAnsi="Roboto" w:cs="Roboto"/>
          <w:color w:val="000000"/>
          <w:sz w:val="22"/>
          <w:szCs w:val="22"/>
        </w:rPr>
      </w:pPr>
      <w:r>
        <w:rPr>
          <w:rFonts w:ascii="Roboto" w:eastAsia="Roboto" w:hAnsi="Roboto" w:cs="Roboto"/>
          <w:color w:val="000000"/>
          <w:sz w:val="22"/>
          <w:szCs w:val="22"/>
        </w:rPr>
        <w:t>La clause de réserve de propriété est une disposition contractuelle, qui permet au vendeur de réserver la propriété de biens vendus, quel que soit leur nature (marchandises ou autres), jusqu’à complet paiement de leur prix.</w:t>
      </w:r>
    </w:p>
    <w:p w14:paraId="536C56B0" w14:textId="77777777" w:rsidR="00C86B87" w:rsidRDefault="00000000">
      <w:pPr>
        <w:jc w:val="both"/>
        <w:rPr>
          <w:rFonts w:ascii="Roboto" w:eastAsia="Roboto" w:hAnsi="Roboto" w:cs="Roboto"/>
          <w:sz w:val="22"/>
          <w:szCs w:val="22"/>
        </w:rPr>
      </w:pPr>
      <w:r>
        <w:rPr>
          <w:rFonts w:ascii="Roboto" w:eastAsia="Roboto" w:hAnsi="Roboto" w:cs="Roboto"/>
          <w:sz w:val="22"/>
          <w:szCs w:val="22"/>
        </w:rPr>
        <w:t>Cette clause est d’un usage courant dans les rapports entre commerçants, fournisseurs ou fabricant.</w:t>
      </w:r>
    </w:p>
    <w:p w14:paraId="7E467394" w14:textId="77777777" w:rsidR="00C86B87" w:rsidRDefault="00000000">
      <w:pPr>
        <w:jc w:val="both"/>
        <w:rPr>
          <w:rFonts w:ascii="Roboto" w:eastAsia="Roboto" w:hAnsi="Roboto" w:cs="Roboto"/>
          <w:i/>
          <w:sz w:val="22"/>
          <w:szCs w:val="22"/>
        </w:rPr>
      </w:pPr>
      <w:r>
        <w:rPr>
          <w:rFonts w:ascii="Roboto" w:eastAsia="Roboto" w:hAnsi="Roboto" w:cs="Roboto"/>
          <w:i/>
          <w:sz w:val="22"/>
          <w:szCs w:val="22"/>
        </w:rPr>
        <w:t>Attention : la clause n’empêche pas l’acheteur de transformer ou de revendre le bien.</w:t>
      </w:r>
    </w:p>
    <w:p w14:paraId="6FCCE634" w14:textId="77777777" w:rsidR="00C86B87" w:rsidRDefault="00C86B87">
      <w:pPr>
        <w:jc w:val="both"/>
        <w:rPr>
          <w:rFonts w:ascii="Roboto" w:eastAsia="Roboto" w:hAnsi="Roboto" w:cs="Roboto"/>
          <w:sz w:val="22"/>
          <w:szCs w:val="22"/>
        </w:rPr>
      </w:pPr>
    </w:p>
    <w:p w14:paraId="22A85965" w14:textId="77777777" w:rsidR="00C86B87" w:rsidRDefault="00000000">
      <w:pPr>
        <w:jc w:val="both"/>
        <w:rPr>
          <w:rFonts w:ascii="Roboto" w:eastAsia="Roboto" w:hAnsi="Roboto" w:cs="Roboto"/>
          <w:b/>
          <w:sz w:val="26"/>
          <w:szCs w:val="26"/>
        </w:rPr>
      </w:pPr>
      <w:r>
        <w:rPr>
          <w:rFonts w:ascii="Roboto" w:eastAsia="Roboto" w:hAnsi="Roboto" w:cs="Roboto"/>
          <w:b/>
          <w:sz w:val="26"/>
          <w:szCs w:val="26"/>
        </w:rPr>
        <w:t>II. OPPOSABILITÉ À L’ACHETEUR</w:t>
      </w:r>
    </w:p>
    <w:p w14:paraId="2F7A3EF3" w14:textId="77777777" w:rsidR="00C86B87" w:rsidRDefault="00C86B87">
      <w:pPr>
        <w:jc w:val="both"/>
        <w:rPr>
          <w:rFonts w:ascii="Roboto" w:eastAsia="Roboto" w:hAnsi="Roboto" w:cs="Roboto"/>
          <w:sz w:val="26"/>
          <w:szCs w:val="26"/>
        </w:rPr>
      </w:pPr>
    </w:p>
    <w:p w14:paraId="7FCDC026" w14:textId="77777777" w:rsidR="00C86B87" w:rsidRDefault="00000000">
      <w:pPr>
        <w:jc w:val="both"/>
        <w:rPr>
          <w:rFonts w:ascii="Roboto" w:eastAsia="Roboto" w:hAnsi="Roboto" w:cs="Roboto"/>
          <w:sz w:val="22"/>
          <w:szCs w:val="22"/>
        </w:rPr>
      </w:pPr>
      <w:r>
        <w:rPr>
          <w:rFonts w:ascii="Roboto" w:eastAsia="Roboto" w:hAnsi="Roboto" w:cs="Roboto"/>
          <w:sz w:val="22"/>
          <w:szCs w:val="22"/>
        </w:rPr>
        <w:t>Pour être opposable à l’acheteur, la clause devra figurer dans un écrit régissant soit un ensemble d’opérations commerciales (contrats de distribution, conditions générales de vente, etc.), soit une seule opération commerciale et établi au plus tard au moment de la livraison (facture, etc.).</w:t>
      </w:r>
    </w:p>
    <w:p w14:paraId="135163C6" w14:textId="77777777" w:rsidR="00C86B87" w:rsidRDefault="00000000">
      <w:pPr>
        <w:jc w:val="both"/>
        <w:rPr>
          <w:rFonts w:ascii="Roboto" w:eastAsia="Roboto" w:hAnsi="Roboto" w:cs="Roboto"/>
          <w:sz w:val="22"/>
          <w:szCs w:val="22"/>
        </w:rPr>
      </w:pPr>
      <w:r>
        <w:rPr>
          <w:rFonts w:ascii="Roboto" w:eastAsia="Roboto" w:hAnsi="Roboto" w:cs="Roboto"/>
          <w:sz w:val="22"/>
          <w:szCs w:val="22"/>
        </w:rPr>
        <w:t>Cette clause doit être rédigée en caractères apparents et lisibles. Elle est opposable à l’acheteur sauf si ce dernier a négocié avec le vendeur un accord écrit pour en écarter l’application.</w:t>
      </w:r>
    </w:p>
    <w:p w14:paraId="346D610C" w14:textId="77777777" w:rsidR="00C86B87" w:rsidRDefault="00000000">
      <w:pPr>
        <w:jc w:val="both"/>
        <w:rPr>
          <w:rFonts w:ascii="Roboto" w:eastAsia="Roboto" w:hAnsi="Roboto" w:cs="Roboto"/>
          <w:sz w:val="22"/>
          <w:szCs w:val="22"/>
        </w:rPr>
      </w:pPr>
      <w:r>
        <w:rPr>
          <w:rFonts w:ascii="Roboto" w:eastAsia="Roboto" w:hAnsi="Roboto" w:cs="Roboto"/>
          <w:sz w:val="22"/>
          <w:szCs w:val="22"/>
        </w:rPr>
        <w:t>Une publicité de la clause peut être effectuée au greffe du tribunal de commerce du lieu où le débiteur a son immatriculation au registre du commerce et des sociétés. En cas de dépôt de bilan du débiteur (acheteur), le créancier (vendeur) sera alors personnellement prévenu d’avoir à exercer une action en revendication.</w:t>
      </w:r>
    </w:p>
    <w:p w14:paraId="6330D316" w14:textId="77777777" w:rsidR="00C86B87" w:rsidRDefault="00C86B87">
      <w:pPr>
        <w:jc w:val="both"/>
        <w:rPr>
          <w:rFonts w:ascii="Roboto" w:eastAsia="Roboto" w:hAnsi="Roboto" w:cs="Roboto"/>
          <w:sz w:val="22"/>
          <w:szCs w:val="22"/>
        </w:rPr>
      </w:pPr>
    </w:p>
    <w:p w14:paraId="631EE901" w14:textId="77777777" w:rsidR="00C86B87" w:rsidRDefault="00000000">
      <w:pPr>
        <w:jc w:val="both"/>
        <w:rPr>
          <w:rFonts w:ascii="Roboto" w:eastAsia="Roboto" w:hAnsi="Roboto" w:cs="Roboto"/>
          <w:b/>
          <w:sz w:val="26"/>
          <w:szCs w:val="26"/>
        </w:rPr>
      </w:pPr>
      <w:r>
        <w:rPr>
          <w:rFonts w:ascii="Roboto" w:eastAsia="Roboto" w:hAnsi="Roboto" w:cs="Roboto"/>
          <w:b/>
          <w:sz w:val="26"/>
          <w:szCs w:val="26"/>
        </w:rPr>
        <w:t>III. PROCÉDURES DE REVENDICATION</w:t>
      </w:r>
    </w:p>
    <w:p w14:paraId="33DDA86D" w14:textId="77777777" w:rsidR="00C86B87" w:rsidRDefault="00C86B87">
      <w:pPr>
        <w:jc w:val="both"/>
        <w:rPr>
          <w:rFonts w:ascii="Roboto" w:eastAsia="Roboto" w:hAnsi="Roboto" w:cs="Roboto"/>
          <w:sz w:val="26"/>
          <w:szCs w:val="26"/>
        </w:rPr>
      </w:pPr>
    </w:p>
    <w:p w14:paraId="59932800" w14:textId="77777777" w:rsidR="00C86B87" w:rsidRDefault="00000000">
      <w:pPr>
        <w:jc w:val="both"/>
        <w:rPr>
          <w:rFonts w:ascii="Roboto" w:eastAsia="Roboto" w:hAnsi="Roboto" w:cs="Roboto"/>
          <w:sz w:val="22"/>
          <w:szCs w:val="22"/>
        </w:rPr>
      </w:pPr>
      <w:r>
        <w:rPr>
          <w:rFonts w:ascii="Roboto" w:eastAsia="Roboto" w:hAnsi="Roboto" w:cs="Roboto"/>
          <w:sz w:val="22"/>
          <w:szCs w:val="22"/>
        </w:rPr>
        <w:t>Elles ont pour objet d’obtenir la restitution des marchandises non payées à l'échéance prévue contractuellement. Les procédures de revendication diffèrent suivant que le débiteur n'a pas ou a déposé le bilan.</w:t>
      </w:r>
    </w:p>
    <w:p w14:paraId="7D726FFF" w14:textId="77777777" w:rsidR="00C86B87" w:rsidRDefault="00C86B87">
      <w:pPr>
        <w:jc w:val="both"/>
        <w:rPr>
          <w:rFonts w:ascii="Roboto" w:eastAsia="Roboto" w:hAnsi="Roboto" w:cs="Roboto"/>
          <w:sz w:val="20"/>
          <w:szCs w:val="20"/>
        </w:rPr>
      </w:pPr>
    </w:p>
    <w:p w14:paraId="2A3F8E56" w14:textId="77777777" w:rsidR="00C86B87" w:rsidRDefault="00000000">
      <w:pPr>
        <w:numPr>
          <w:ilvl w:val="0"/>
          <w:numId w:val="1"/>
        </w:numPr>
        <w:pBdr>
          <w:top w:val="nil"/>
          <w:left w:val="nil"/>
          <w:bottom w:val="nil"/>
          <w:right w:val="nil"/>
          <w:between w:val="nil"/>
        </w:pBdr>
        <w:jc w:val="both"/>
        <w:rPr>
          <w:rFonts w:ascii="Roboto" w:eastAsia="Roboto" w:hAnsi="Roboto" w:cs="Roboto"/>
          <w:b/>
          <w:i/>
          <w:color w:val="000000"/>
        </w:rPr>
      </w:pPr>
      <w:r>
        <w:rPr>
          <w:rFonts w:ascii="Roboto" w:eastAsia="Roboto" w:hAnsi="Roboto" w:cs="Roboto"/>
          <w:b/>
          <w:i/>
          <w:color w:val="000000"/>
        </w:rPr>
        <w:t>Le débiteur n’a pas déposé le bilan</w:t>
      </w:r>
    </w:p>
    <w:p w14:paraId="63444717" w14:textId="77777777" w:rsidR="00C86B87" w:rsidRDefault="00C86B87">
      <w:pPr>
        <w:pBdr>
          <w:top w:val="nil"/>
          <w:left w:val="nil"/>
          <w:bottom w:val="nil"/>
          <w:right w:val="nil"/>
          <w:between w:val="nil"/>
        </w:pBdr>
        <w:ind w:left="720" w:hanging="720"/>
        <w:jc w:val="both"/>
        <w:rPr>
          <w:rFonts w:ascii="Roboto" w:eastAsia="Roboto" w:hAnsi="Roboto" w:cs="Roboto"/>
          <w:b/>
          <w:i/>
          <w:color w:val="000000"/>
        </w:rPr>
      </w:pPr>
    </w:p>
    <w:p w14:paraId="4D6832FE" w14:textId="77777777" w:rsidR="00C86B87" w:rsidRDefault="00000000">
      <w:pPr>
        <w:jc w:val="both"/>
        <w:rPr>
          <w:rFonts w:ascii="Roboto" w:eastAsia="Roboto" w:hAnsi="Roboto" w:cs="Roboto"/>
          <w:sz w:val="22"/>
          <w:szCs w:val="22"/>
        </w:rPr>
      </w:pPr>
      <w:r>
        <w:rPr>
          <w:rFonts w:ascii="Roboto" w:eastAsia="Roboto" w:hAnsi="Roboto" w:cs="Roboto"/>
          <w:sz w:val="22"/>
          <w:szCs w:val="22"/>
        </w:rPr>
        <w:t>Une revendication amiable est possible. En cas de résistance ou d’opposition du débiteur, le créancier pourra faire procéder à une saisie-revendication, après une autorisation de justice.</w:t>
      </w:r>
    </w:p>
    <w:p w14:paraId="31791ADB" w14:textId="77777777" w:rsidR="00C86B87" w:rsidRDefault="00C86B87">
      <w:pPr>
        <w:jc w:val="both"/>
        <w:rPr>
          <w:rFonts w:ascii="Roboto" w:eastAsia="Roboto" w:hAnsi="Roboto" w:cs="Roboto"/>
          <w:sz w:val="22"/>
          <w:szCs w:val="22"/>
        </w:rPr>
      </w:pPr>
    </w:p>
    <w:p w14:paraId="0E082292" w14:textId="77777777" w:rsidR="00C86B87" w:rsidRDefault="00000000">
      <w:pPr>
        <w:numPr>
          <w:ilvl w:val="0"/>
          <w:numId w:val="1"/>
        </w:numPr>
        <w:pBdr>
          <w:top w:val="nil"/>
          <w:left w:val="nil"/>
          <w:bottom w:val="nil"/>
          <w:right w:val="nil"/>
          <w:between w:val="nil"/>
        </w:pBdr>
        <w:jc w:val="both"/>
        <w:rPr>
          <w:rFonts w:ascii="Roboto" w:eastAsia="Roboto" w:hAnsi="Roboto" w:cs="Roboto"/>
          <w:b/>
          <w:i/>
          <w:color w:val="000000"/>
        </w:rPr>
      </w:pPr>
      <w:r>
        <w:rPr>
          <w:rFonts w:ascii="Roboto" w:eastAsia="Roboto" w:hAnsi="Roboto" w:cs="Roboto"/>
          <w:b/>
          <w:i/>
          <w:color w:val="000000"/>
        </w:rPr>
        <w:t>Le débiteur a déposé le bilan</w:t>
      </w:r>
    </w:p>
    <w:p w14:paraId="6922FACD" w14:textId="77777777" w:rsidR="00C86B87" w:rsidRDefault="00C86B87">
      <w:pPr>
        <w:pBdr>
          <w:top w:val="nil"/>
          <w:left w:val="nil"/>
          <w:bottom w:val="nil"/>
          <w:right w:val="nil"/>
          <w:between w:val="nil"/>
        </w:pBdr>
        <w:ind w:left="720" w:hanging="720"/>
        <w:jc w:val="both"/>
        <w:rPr>
          <w:rFonts w:ascii="Roboto" w:eastAsia="Roboto" w:hAnsi="Roboto" w:cs="Roboto"/>
          <w:color w:val="000000"/>
        </w:rPr>
      </w:pPr>
    </w:p>
    <w:p w14:paraId="7DFC7A69" w14:textId="77777777" w:rsidR="00C86B87" w:rsidRDefault="00000000">
      <w:pPr>
        <w:jc w:val="both"/>
        <w:rPr>
          <w:rFonts w:ascii="Roboto" w:eastAsia="Roboto" w:hAnsi="Roboto" w:cs="Roboto"/>
          <w:sz w:val="22"/>
          <w:szCs w:val="22"/>
        </w:rPr>
      </w:pPr>
      <w:r>
        <w:rPr>
          <w:rFonts w:ascii="Roboto" w:eastAsia="Roboto" w:hAnsi="Roboto" w:cs="Roboto"/>
          <w:sz w:val="22"/>
          <w:szCs w:val="22"/>
        </w:rPr>
        <w:t>Le créancier doit alors exercer une action en revendication en envoyant une lettre recommandée avec accusé de réception à l’administrateur judiciaire ou, à défaut, au représentant des créanciers ou liquidateur.</w:t>
      </w:r>
    </w:p>
    <w:p w14:paraId="59F11C95" w14:textId="77777777" w:rsidR="00C86B87" w:rsidRDefault="00000000">
      <w:pPr>
        <w:jc w:val="both"/>
        <w:rPr>
          <w:rFonts w:ascii="Roboto" w:eastAsia="Roboto" w:hAnsi="Roboto" w:cs="Roboto"/>
          <w:sz w:val="22"/>
          <w:szCs w:val="22"/>
        </w:rPr>
      </w:pPr>
      <w:r>
        <w:rPr>
          <w:rFonts w:ascii="Roboto" w:eastAsia="Roboto" w:hAnsi="Roboto" w:cs="Roboto"/>
          <w:sz w:val="22"/>
          <w:szCs w:val="22"/>
        </w:rPr>
        <w:t>Cette dernière formalité - qui vaut demande de restitution - devra être effectuée, sous peine de forclusion, dans le délai de trois mois qui court à compter de la date de publication du jugement de redressement judiciaire au BODACC.</w:t>
      </w:r>
    </w:p>
    <w:p w14:paraId="11E26583" w14:textId="77777777" w:rsidR="00C86B87" w:rsidRDefault="00C86B87">
      <w:pPr>
        <w:jc w:val="both"/>
        <w:rPr>
          <w:rFonts w:ascii="Roboto" w:eastAsia="Roboto" w:hAnsi="Roboto" w:cs="Roboto"/>
          <w:sz w:val="22"/>
          <w:szCs w:val="22"/>
        </w:rPr>
      </w:pPr>
    </w:p>
    <w:p w14:paraId="355CFCDA" w14:textId="77777777" w:rsidR="00C86B87" w:rsidRDefault="00000000">
      <w:pPr>
        <w:jc w:val="both"/>
        <w:rPr>
          <w:rFonts w:ascii="Roboto" w:eastAsia="Roboto" w:hAnsi="Roboto" w:cs="Roboto"/>
          <w:sz w:val="22"/>
          <w:szCs w:val="22"/>
        </w:rPr>
      </w:pPr>
      <w:r>
        <w:rPr>
          <w:rFonts w:ascii="Roboto" w:eastAsia="Roboto" w:hAnsi="Roboto" w:cs="Roboto"/>
          <w:sz w:val="22"/>
          <w:szCs w:val="22"/>
        </w:rPr>
        <w:t xml:space="preserve">À défaut d’avoir effectué cette formalité, une demande de relevé de forclusion devra être adressée au juge commissaire nommé par le tribunal dans le cadre de la procédure de redressement ou </w:t>
      </w:r>
      <w:r>
        <w:rPr>
          <w:rFonts w:ascii="Roboto" w:eastAsia="Roboto" w:hAnsi="Roboto" w:cs="Roboto"/>
          <w:sz w:val="22"/>
          <w:szCs w:val="22"/>
        </w:rPr>
        <w:lastRenderedPageBreak/>
        <w:t>liquidation judiciaire concernant le débiteur. En cas de contestation ou à défaut d’accord avec les parties concernées, le</w:t>
      </w:r>
    </w:p>
    <w:p w14:paraId="4B5CFBC1" w14:textId="77777777" w:rsidR="00C86B87" w:rsidRDefault="00000000">
      <w:pPr>
        <w:jc w:val="both"/>
        <w:rPr>
          <w:rFonts w:ascii="Roboto" w:eastAsia="Roboto" w:hAnsi="Roboto" w:cs="Roboto"/>
          <w:sz w:val="22"/>
          <w:szCs w:val="22"/>
        </w:rPr>
      </w:pPr>
      <w:proofErr w:type="gramStart"/>
      <w:r>
        <w:rPr>
          <w:rFonts w:ascii="Roboto" w:eastAsia="Roboto" w:hAnsi="Roboto" w:cs="Roboto"/>
          <w:sz w:val="22"/>
          <w:szCs w:val="22"/>
        </w:rPr>
        <w:t>créancier</w:t>
      </w:r>
      <w:proofErr w:type="gramEnd"/>
      <w:r>
        <w:rPr>
          <w:rFonts w:ascii="Roboto" w:eastAsia="Roboto" w:hAnsi="Roboto" w:cs="Roboto"/>
          <w:sz w:val="22"/>
          <w:szCs w:val="22"/>
        </w:rPr>
        <w:t xml:space="preserve"> doit alors saisir par requête le juge commissaire, dans le délai d’un mois qui court à compter de l’expiration du délai de réponse d’un mois dont disposait le mandataire judiciaire pour prendre position.</w:t>
      </w:r>
    </w:p>
    <w:p w14:paraId="4932FCAB" w14:textId="77777777" w:rsidR="00C86B87" w:rsidRDefault="00C86B87">
      <w:pPr>
        <w:jc w:val="both"/>
        <w:rPr>
          <w:rFonts w:ascii="Roboto" w:eastAsia="Roboto" w:hAnsi="Roboto" w:cs="Roboto"/>
          <w:sz w:val="22"/>
          <w:szCs w:val="22"/>
        </w:rPr>
      </w:pPr>
    </w:p>
    <w:p w14:paraId="441418FE" w14:textId="77777777" w:rsidR="00C86B87" w:rsidRDefault="00000000">
      <w:pPr>
        <w:jc w:val="both"/>
        <w:rPr>
          <w:rFonts w:ascii="Roboto" w:eastAsia="Roboto" w:hAnsi="Roboto" w:cs="Roboto"/>
          <w:b/>
          <w:sz w:val="26"/>
          <w:szCs w:val="26"/>
        </w:rPr>
      </w:pPr>
      <w:r>
        <w:rPr>
          <w:rFonts w:ascii="Roboto" w:eastAsia="Roboto" w:hAnsi="Roboto" w:cs="Roboto"/>
          <w:b/>
          <w:sz w:val="26"/>
          <w:szCs w:val="26"/>
        </w:rPr>
        <w:t>IV. CONDITIONS DE LA REVENDICATION</w:t>
      </w:r>
    </w:p>
    <w:p w14:paraId="520F9F31" w14:textId="77777777" w:rsidR="00C86B87" w:rsidRDefault="00C86B87">
      <w:pPr>
        <w:jc w:val="both"/>
        <w:rPr>
          <w:rFonts w:ascii="Roboto" w:eastAsia="Roboto" w:hAnsi="Roboto" w:cs="Roboto"/>
          <w:sz w:val="26"/>
          <w:szCs w:val="26"/>
        </w:rPr>
      </w:pPr>
    </w:p>
    <w:p w14:paraId="3C5AE940" w14:textId="77777777" w:rsidR="00C86B87" w:rsidRDefault="00000000">
      <w:pPr>
        <w:jc w:val="both"/>
        <w:rPr>
          <w:rFonts w:ascii="Roboto" w:eastAsia="Roboto" w:hAnsi="Roboto" w:cs="Roboto"/>
          <w:sz w:val="22"/>
          <w:szCs w:val="22"/>
        </w:rPr>
      </w:pPr>
      <w:r>
        <w:rPr>
          <w:rFonts w:ascii="Roboto" w:eastAsia="Roboto" w:hAnsi="Roboto" w:cs="Roboto"/>
          <w:sz w:val="22"/>
          <w:szCs w:val="22"/>
        </w:rPr>
        <w:t>Pour être revendiquées, les marchandises devront être disponibles et identifiés dans le patrimoine du débiteur.</w:t>
      </w:r>
    </w:p>
    <w:p w14:paraId="06B31CE9" w14:textId="77777777" w:rsidR="00C86B87" w:rsidRDefault="00000000">
      <w:pPr>
        <w:jc w:val="both"/>
        <w:rPr>
          <w:rFonts w:ascii="Roboto" w:eastAsia="Roboto" w:hAnsi="Roboto" w:cs="Roboto"/>
          <w:sz w:val="22"/>
          <w:szCs w:val="22"/>
        </w:rPr>
      </w:pPr>
      <w:r>
        <w:rPr>
          <w:rFonts w:ascii="Roboto" w:eastAsia="Roboto" w:hAnsi="Roboto" w:cs="Roboto"/>
          <w:sz w:val="22"/>
          <w:szCs w:val="22"/>
        </w:rPr>
        <w:t>Si le bien revendiqué est incorporé dans un autre bien mobilier, sa restitution ne pourra avoir lieu que si la récupération s’effectue sans dommage pour sa structure et pour celle du bien incorporant.</w:t>
      </w:r>
    </w:p>
    <w:p w14:paraId="2068D643" w14:textId="77777777" w:rsidR="00C86B87" w:rsidRDefault="00000000">
      <w:pPr>
        <w:jc w:val="both"/>
        <w:rPr>
          <w:rFonts w:ascii="Roboto" w:eastAsia="Roboto" w:hAnsi="Roboto" w:cs="Roboto"/>
          <w:sz w:val="22"/>
          <w:szCs w:val="22"/>
        </w:rPr>
      </w:pPr>
      <w:r>
        <w:rPr>
          <w:rFonts w:ascii="Roboto" w:eastAsia="Roboto" w:hAnsi="Roboto" w:cs="Roboto"/>
          <w:sz w:val="22"/>
          <w:szCs w:val="22"/>
        </w:rPr>
        <w:t>Si le bien a été revendu, les sommes payées par le sous-acquéreur entre les mains du débiteur, postérieurement à l’action en revendication, devront être reversées, par l’intermédiaire de l’administrateur, à défaut du représentant des créanciers ou du liquidateur, entre les mains du créancier revendiquant.</w:t>
      </w:r>
    </w:p>
    <w:p w14:paraId="70F083FB" w14:textId="77777777" w:rsidR="00C86B87" w:rsidRDefault="00C86B87">
      <w:pPr>
        <w:jc w:val="both"/>
        <w:rPr>
          <w:rFonts w:ascii="Roboto" w:eastAsia="Roboto" w:hAnsi="Roboto" w:cs="Roboto"/>
          <w:sz w:val="22"/>
          <w:szCs w:val="22"/>
        </w:rPr>
      </w:pPr>
    </w:p>
    <w:p w14:paraId="56042480" w14:textId="77777777" w:rsidR="00C86B87" w:rsidRDefault="00C86B87">
      <w:pPr>
        <w:jc w:val="both"/>
        <w:rPr>
          <w:rFonts w:ascii="Roboto" w:eastAsia="Roboto" w:hAnsi="Roboto" w:cs="Roboto"/>
        </w:rPr>
      </w:pPr>
    </w:p>
    <w:sectPr w:rsidR="00C86B87">
      <w:pgSz w:w="12240" w:h="15840"/>
      <w:pgMar w:top="1417" w:right="1417" w:bottom="1417" w:left="1417"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6D5B5B"/>
    <w:multiLevelType w:val="multilevel"/>
    <w:tmpl w:val="0708096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8452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B87"/>
    <w:rsid w:val="009B4B74"/>
    <w:rsid w:val="00C86B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6D69E3E"/>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Paragraphedeliste">
    <w:name w:val="List Paragraph"/>
    <w:basedOn w:val="Normal"/>
    <w:uiPriority w:val="34"/>
    <w:qFormat/>
    <w:rsid w:val="00130138"/>
    <w:pPr>
      <w:ind w:left="720"/>
      <w:contextualSpacing/>
    </w:pPr>
  </w:style>
  <w:style w:type="paragraph" w:customStyle="1" w:styleId="paragraph">
    <w:name w:val="paragraph"/>
    <w:basedOn w:val="Normal"/>
    <w:rsid w:val="00130138"/>
    <w:pPr>
      <w:spacing w:before="100" w:beforeAutospacing="1" w:after="100" w:afterAutospacing="1"/>
    </w:pPr>
  </w:style>
  <w:style w:type="character" w:customStyle="1" w:styleId="scxw137346434">
    <w:name w:val="scxw137346434"/>
    <w:basedOn w:val="Policepardfaut"/>
    <w:rsid w:val="00130138"/>
  </w:style>
  <w:style w:type="character" w:customStyle="1" w:styleId="eop">
    <w:name w:val="eop"/>
    <w:basedOn w:val="Policepardfaut"/>
    <w:rsid w:val="00130138"/>
  </w:style>
  <w:style w:type="character" w:customStyle="1" w:styleId="normaltextrun">
    <w:name w:val="normaltextrun"/>
    <w:basedOn w:val="Policepardfaut"/>
    <w:rsid w:val="00130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59wgD4WJkaCxs5DVBZY1AlVzFaQ==">AMUW2mXlLqGIMOoKeSaWaaH/RMHrKNdsKpZRk1LCmNe/vEecXXL6WhTVahP6HOw0/jxHkwDGBKcyG7Q4lp/TNDp6ySsNd46lLtSPXciXT42kjOZhb/dGw95AaVPKGVtjIVqtoYCTAbha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532</Words>
  <Characters>2932</Characters>
  <Application>Microsoft Office Word</Application>
  <DocSecurity>0</DocSecurity>
  <Lines>24</Lines>
  <Paragraphs>6</Paragraphs>
  <ScaleCrop>false</ScaleCrop>
  <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2019-09-02T19:25:00Z</dcterms:created>
  <dcterms:modified xsi:type="dcterms:W3CDTF">2023-03-30T08:57:00Z</dcterms:modified>
</cp:coreProperties>
</file>