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3C388A" w14:textId="77777777" w:rsidR="000E4DCE" w:rsidRDefault="00000000">
      <w:pPr>
        <w:jc w:val="both"/>
        <w:rPr>
          <w:rFonts w:ascii="Roboto" w:eastAsia="Roboto" w:hAnsi="Roboto" w:cs="Roboto"/>
          <w:sz w:val="24"/>
          <w:szCs w:val="24"/>
        </w:rPr>
      </w:pPr>
      <w:r>
        <w:rPr>
          <w:rFonts w:ascii="Roboto" w:eastAsia="Roboto" w:hAnsi="Roboto" w:cs="Roboto"/>
          <w:sz w:val="24"/>
          <w:szCs w:val="24"/>
        </w:rPr>
        <w:t>SYNDIC</w:t>
      </w:r>
    </w:p>
    <w:p w14:paraId="2251FB19" w14:textId="77777777" w:rsidR="000E4DCE" w:rsidRDefault="00000000">
      <w:pPr>
        <w:jc w:val="both"/>
        <w:rPr>
          <w:rFonts w:ascii="Roboto" w:eastAsia="Roboto" w:hAnsi="Roboto" w:cs="Roboto"/>
          <w:color w:val="999999"/>
          <w:sz w:val="24"/>
          <w:szCs w:val="24"/>
        </w:rPr>
      </w:pPr>
      <w:r>
        <w:rPr>
          <w:rFonts w:ascii="Roboto" w:eastAsia="Roboto" w:hAnsi="Roboto" w:cs="Roboto"/>
          <w:color w:val="999999"/>
          <w:sz w:val="24"/>
          <w:szCs w:val="24"/>
        </w:rPr>
        <w:t>Adresse</w:t>
      </w:r>
    </w:p>
    <w:p w14:paraId="3E1AB663"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 </w:t>
      </w:r>
    </w:p>
    <w:p w14:paraId="21D3D8AC" w14:textId="77777777" w:rsidR="000E4DCE" w:rsidRDefault="00000000">
      <w:pPr>
        <w:jc w:val="right"/>
        <w:rPr>
          <w:rFonts w:ascii="Roboto" w:eastAsia="Roboto" w:hAnsi="Roboto" w:cs="Roboto"/>
          <w:sz w:val="24"/>
          <w:szCs w:val="24"/>
        </w:rPr>
      </w:pPr>
      <w:r>
        <w:rPr>
          <w:rFonts w:ascii="Roboto" w:eastAsia="Roboto" w:hAnsi="Roboto" w:cs="Roboto"/>
          <w:sz w:val="24"/>
          <w:szCs w:val="24"/>
        </w:rPr>
        <w:t>COPROPRIÉTAIRE</w:t>
      </w:r>
    </w:p>
    <w:p w14:paraId="572BF6C1" w14:textId="77777777" w:rsidR="000E4DCE" w:rsidRDefault="00000000">
      <w:pPr>
        <w:jc w:val="right"/>
        <w:rPr>
          <w:rFonts w:ascii="Roboto" w:eastAsia="Roboto" w:hAnsi="Roboto" w:cs="Roboto"/>
          <w:color w:val="999999"/>
          <w:sz w:val="24"/>
          <w:szCs w:val="24"/>
        </w:rPr>
      </w:pPr>
      <w:r>
        <w:rPr>
          <w:rFonts w:ascii="Roboto" w:eastAsia="Roboto" w:hAnsi="Roboto" w:cs="Roboto"/>
          <w:color w:val="999999"/>
          <w:sz w:val="24"/>
          <w:szCs w:val="24"/>
        </w:rPr>
        <w:t>Adresse</w:t>
      </w:r>
    </w:p>
    <w:p w14:paraId="4CA633C3" w14:textId="77777777" w:rsidR="000E4DCE" w:rsidRDefault="00000000">
      <w:pPr>
        <w:jc w:val="right"/>
        <w:rPr>
          <w:rFonts w:ascii="Roboto" w:eastAsia="Roboto" w:hAnsi="Roboto" w:cs="Roboto"/>
          <w:sz w:val="24"/>
          <w:szCs w:val="24"/>
        </w:rPr>
      </w:pPr>
      <w:r>
        <w:rPr>
          <w:rFonts w:ascii="Roboto" w:eastAsia="Roboto" w:hAnsi="Roboto" w:cs="Roboto"/>
          <w:sz w:val="24"/>
          <w:szCs w:val="24"/>
        </w:rPr>
        <w:t xml:space="preserve"> </w:t>
      </w:r>
    </w:p>
    <w:p w14:paraId="1F1C9E07" w14:textId="77777777" w:rsidR="000E4DCE" w:rsidRDefault="00000000">
      <w:pPr>
        <w:jc w:val="right"/>
        <w:rPr>
          <w:rFonts w:ascii="Roboto" w:eastAsia="Roboto" w:hAnsi="Roboto" w:cs="Roboto"/>
          <w:sz w:val="24"/>
          <w:szCs w:val="24"/>
        </w:rPr>
      </w:pPr>
      <w:r>
        <w:rPr>
          <w:rFonts w:ascii="Roboto" w:eastAsia="Roboto" w:hAnsi="Roboto" w:cs="Roboto"/>
          <w:sz w:val="24"/>
          <w:szCs w:val="24"/>
        </w:rPr>
        <w:t xml:space="preserve"> </w:t>
      </w:r>
    </w:p>
    <w:p w14:paraId="27E73262" w14:textId="77777777" w:rsidR="000E4DCE" w:rsidRDefault="00000000">
      <w:pPr>
        <w:jc w:val="right"/>
        <w:rPr>
          <w:rFonts w:ascii="Roboto" w:eastAsia="Roboto" w:hAnsi="Roboto" w:cs="Roboto"/>
          <w:color w:val="999999"/>
          <w:sz w:val="24"/>
          <w:szCs w:val="24"/>
        </w:rPr>
      </w:pPr>
      <w:r>
        <w:rPr>
          <w:rFonts w:ascii="Roboto" w:eastAsia="Roboto" w:hAnsi="Roboto" w:cs="Roboto"/>
          <w:color w:val="999999"/>
          <w:sz w:val="24"/>
          <w:szCs w:val="24"/>
        </w:rPr>
        <w:t>Lieu, Date</w:t>
      </w:r>
    </w:p>
    <w:p w14:paraId="6B84AA26"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 </w:t>
      </w:r>
    </w:p>
    <w:p w14:paraId="5B8057C2"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Lettre recommandée avec accusé de réception </w:t>
      </w:r>
    </w:p>
    <w:p w14:paraId="65B3934D"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 </w:t>
      </w:r>
    </w:p>
    <w:p w14:paraId="3526EB68" w14:textId="77777777" w:rsidR="000E4DCE" w:rsidRDefault="00000000">
      <w:pPr>
        <w:jc w:val="both"/>
        <w:rPr>
          <w:rFonts w:ascii="Roboto" w:eastAsia="Roboto" w:hAnsi="Roboto" w:cs="Roboto"/>
          <w:b/>
          <w:sz w:val="24"/>
          <w:szCs w:val="24"/>
        </w:rPr>
      </w:pPr>
      <w:r>
        <w:rPr>
          <w:rFonts w:ascii="Roboto" w:eastAsia="Roboto" w:hAnsi="Roboto" w:cs="Roboto"/>
          <w:b/>
          <w:sz w:val="24"/>
          <w:szCs w:val="24"/>
        </w:rPr>
        <w:t>Objet : Mise en demeure de régler les charges de copropriété.</w:t>
      </w:r>
    </w:p>
    <w:p w14:paraId="3121C6FB"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 </w:t>
      </w:r>
    </w:p>
    <w:p w14:paraId="77DB489F"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Madame, Monsieur, </w:t>
      </w:r>
    </w:p>
    <w:p w14:paraId="327DF9DE"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 </w:t>
      </w:r>
    </w:p>
    <w:p w14:paraId="25E7881A" w14:textId="77777777" w:rsidR="000E4DCE" w:rsidRDefault="00000000">
      <w:pPr>
        <w:spacing w:after="240"/>
        <w:jc w:val="both"/>
        <w:rPr>
          <w:rFonts w:ascii="Roboto" w:eastAsia="Roboto" w:hAnsi="Roboto" w:cs="Roboto"/>
          <w:sz w:val="24"/>
          <w:szCs w:val="24"/>
        </w:rPr>
      </w:pPr>
      <w:r>
        <w:rPr>
          <w:rFonts w:ascii="Roboto" w:eastAsia="Roboto" w:hAnsi="Roboto" w:cs="Roboto"/>
          <w:sz w:val="24"/>
          <w:szCs w:val="24"/>
        </w:rPr>
        <w:t xml:space="preserve">Nous tenons à vous rappeler que, d’après l’article 10 de la </w:t>
      </w:r>
      <w:r>
        <w:rPr>
          <w:rFonts w:ascii="Roboto" w:eastAsia="Roboto" w:hAnsi="Roboto" w:cs="Roboto"/>
          <w:sz w:val="24"/>
          <w:szCs w:val="24"/>
          <w:highlight w:val="white"/>
        </w:rPr>
        <w:t xml:space="preserve">Loi du 10 juillet 1965, </w:t>
      </w:r>
      <w:r>
        <w:rPr>
          <w:rFonts w:ascii="Roboto" w:eastAsia="Roboto" w:hAnsi="Roboto" w:cs="Roboto"/>
          <w:sz w:val="24"/>
          <w:szCs w:val="24"/>
        </w:rPr>
        <w:t>les copropriétaires sont tenus de participer aux charges entraînées par les services collectifs et les éléments d'équipement commun en fonction de l'utilité que ces services et éléments présents à l'égard de chaque lot. Ils sont tenus de participer aux charges relatives à la conservation, à l'entretien et à l'administration des parties communes et de verser au fonds de travaux mentionnés à l'article 14-2 la cotisation prévue au même article, proportionnellement aux valeurs relatives des parties privatives comprises dans leurs lots, telles que ces valeurs résultent des dispositions de l'article 5.</w:t>
      </w:r>
    </w:p>
    <w:p w14:paraId="3E5D07BD" w14:textId="77777777" w:rsidR="000E4DCE" w:rsidRDefault="00000000">
      <w:pPr>
        <w:jc w:val="both"/>
        <w:rPr>
          <w:rFonts w:ascii="Roboto" w:eastAsia="Roboto" w:hAnsi="Roboto" w:cs="Roboto"/>
          <w:b/>
          <w:sz w:val="24"/>
          <w:szCs w:val="24"/>
        </w:rPr>
      </w:pPr>
      <w:r>
        <w:rPr>
          <w:rFonts w:ascii="Roboto" w:eastAsia="Roboto" w:hAnsi="Roboto" w:cs="Roboto"/>
          <w:sz w:val="24"/>
          <w:szCs w:val="24"/>
        </w:rPr>
        <w:t>À ce jour, et malgré une lettre de relance en date du (</w:t>
      </w:r>
      <w:r>
        <w:rPr>
          <w:rFonts w:ascii="Roboto" w:eastAsia="Roboto" w:hAnsi="Roboto" w:cs="Roboto"/>
          <w:b/>
          <w:i/>
          <w:color w:val="999999"/>
          <w:sz w:val="24"/>
          <w:szCs w:val="24"/>
        </w:rPr>
        <w:t>date</w:t>
      </w:r>
      <w:r>
        <w:rPr>
          <w:rFonts w:ascii="Roboto" w:eastAsia="Roboto" w:hAnsi="Roboto" w:cs="Roboto"/>
          <w:sz w:val="24"/>
          <w:szCs w:val="24"/>
        </w:rPr>
        <w:t>), vous êtes toujours redevable à l’égard du syndic de la somme de</w:t>
      </w:r>
      <w:r>
        <w:rPr>
          <w:rFonts w:ascii="Roboto" w:eastAsia="Roboto" w:hAnsi="Roboto" w:cs="Roboto"/>
          <w:color w:val="999999"/>
          <w:sz w:val="24"/>
          <w:szCs w:val="24"/>
        </w:rPr>
        <w:t xml:space="preserve"> </w:t>
      </w:r>
      <w:r>
        <w:rPr>
          <w:rFonts w:ascii="Roboto" w:eastAsia="Roboto" w:hAnsi="Roboto" w:cs="Roboto"/>
          <w:b/>
          <w:color w:val="999999"/>
          <w:sz w:val="24"/>
          <w:szCs w:val="24"/>
        </w:rPr>
        <w:t>(somme en chiffres et en lettres)</w:t>
      </w:r>
      <w:r>
        <w:rPr>
          <w:rFonts w:ascii="Roboto" w:eastAsia="Roboto" w:hAnsi="Roboto" w:cs="Roboto"/>
          <w:b/>
          <w:sz w:val="24"/>
          <w:szCs w:val="24"/>
        </w:rPr>
        <w:t xml:space="preserve"> arrêtée au </w:t>
      </w:r>
      <w:r>
        <w:rPr>
          <w:rFonts w:ascii="Roboto" w:eastAsia="Roboto" w:hAnsi="Roboto" w:cs="Roboto"/>
          <w:b/>
          <w:color w:val="999999"/>
          <w:sz w:val="24"/>
          <w:szCs w:val="24"/>
        </w:rPr>
        <w:t>(date)</w:t>
      </w:r>
      <w:r>
        <w:rPr>
          <w:rFonts w:ascii="Roboto" w:eastAsia="Roboto" w:hAnsi="Roboto" w:cs="Roboto"/>
          <w:b/>
          <w:sz w:val="24"/>
          <w:szCs w:val="24"/>
        </w:rPr>
        <w:t xml:space="preserve">, et ayant commencé à courir au </w:t>
      </w:r>
      <w:r>
        <w:rPr>
          <w:rFonts w:ascii="Roboto" w:eastAsia="Roboto" w:hAnsi="Roboto" w:cs="Roboto"/>
          <w:b/>
          <w:color w:val="999999"/>
          <w:sz w:val="24"/>
          <w:szCs w:val="24"/>
        </w:rPr>
        <w:t>(date)</w:t>
      </w:r>
      <w:r>
        <w:rPr>
          <w:rFonts w:ascii="Roboto" w:eastAsia="Roboto" w:hAnsi="Roboto" w:cs="Roboto"/>
          <w:b/>
          <w:sz w:val="24"/>
          <w:szCs w:val="24"/>
        </w:rPr>
        <w:t>.</w:t>
      </w:r>
    </w:p>
    <w:p w14:paraId="11FEC3A4" w14:textId="77777777" w:rsidR="000E4DCE" w:rsidRDefault="00000000">
      <w:pPr>
        <w:jc w:val="both"/>
        <w:rPr>
          <w:rFonts w:ascii="Roboto" w:eastAsia="Roboto" w:hAnsi="Roboto" w:cs="Roboto"/>
          <w:b/>
          <w:sz w:val="24"/>
          <w:szCs w:val="24"/>
        </w:rPr>
      </w:pPr>
      <w:r>
        <w:rPr>
          <w:rFonts w:ascii="Roboto" w:eastAsia="Roboto" w:hAnsi="Roboto" w:cs="Roboto"/>
          <w:b/>
          <w:sz w:val="24"/>
          <w:szCs w:val="24"/>
        </w:rPr>
        <w:t xml:space="preserve"> </w:t>
      </w:r>
    </w:p>
    <w:p w14:paraId="75A42638" w14:textId="77777777" w:rsidR="000E4DCE" w:rsidRDefault="00000000">
      <w:pPr>
        <w:jc w:val="both"/>
        <w:rPr>
          <w:rFonts w:ascii="Roboto" w:eastAsia="Roboto" w:hAnsi="Roboto" w:cs="Roboto"/>
          <w:sz w:val="24"/>
          <w:szCs w:val="24"/>
          <w:highlight w:val="white"/>
        </w:rPr>
      </w:pPr>
      <w:r>
        <w:rPr>
          <w:rFonts w:ascii="Roboto" w:eastAsia="Roboto" w:hAnsi="Roboto" w:cs="Roboto"/>
          <w:sz w:val="24"/>
          <w:szCs w:val="24"/>
        </w:rPr>
        <w:t>En effet</w:t>
      </w:r>
      <w:r>
        <w:rPr>
          <w:rFonts w:ascii="Roboto" w:eastAsia="Roboto" w:hAnsi="Roboto" w:cs="Roboto"/>
          <w:b/>
          <w:sz w:val="24"/>
          <w:szCs w:val="24"/>
        </w:rPr>
        <w:t xml:space="preserve">, </w:t>
      </w:r>
      <w:r>
        <w:rPr>
          <w:rFonts w:ascii="Roboto" w:eastAsia="Roboto" w:hAnsi="Roboto" w:cs="Roboto"/>
          <w:sz w:val="24"/>
          <w:szCs w:val="24"/>
          <w:highlight w:val="white"/>
        </w:rPr>
        <w:t xml:space="preserve">la loi portant Évolution du Logement, de l’Aménagement et du Numérique, entrée en vigueur le 25 novembre 2018 (ELAN, n°2018-1021) a réduit le délai de prescription en matière de droit de la copropriété à 5 ans. </w:t>
      </w:r>
    </w:p>
    <w:p w14:paraId="355B22AA" w14:textId="77777777" w:rsidR="000E4DCE" w:rsidRDefault="00000000">
      <w:pPr>
        <w:jc w:val="both"/>
        <w:rPr>
          <w:rFonts w:ascii="Roboto" w:eastAsia="Roboto" w:hAnsi="Roboto" w:cs="Roboto"/>
          <w:sz w:val="24"/>
          <w:szCs w:val="24"/>
          <w:highlight w:val="white"/>
        </w:rPr>
      </w:pPr>
      <w:r>
        <w:rPr>
          <w:rFonts w:ascii="Roboto" w:eastAsia="Roboto" w:hAnsi="Roboto" w:cs="Roboto"/>
          <w:sz w:val="24"/>
          <w:szCs w:val="24"/>
          <w:highlight w:val="white"/>
        </w:rPr>
        <w:t xml:space="preserve"> </w:t>
      </w:r>
    </w:p>
    <w:p w14:paraId="044D9207" w14:textId="77777777" w:rsidR="000E4DCE" w:rsidRDefault="00000000">
      <w:pPr>
        <w:jc w:val="both"/>
        <w:rPr>
          <w:rFonts w:ascii="Roboto" w:eastAsia="Roboto" w:hAnsi="Roboto" w:cs="Roboto"/>
          <w:sz w:val="24"/>
          <w:szCs w:val="24"/>
          <w:highlight w:val="white"/>
        </w:rPr>
      </w:pPr>
      <w:r>
        <w:rPr>
          <w:rFonts w:ascii="Roboto" w:eastAsia="Roboto" w:hAnsi="Roboto" w:cs="Roboto"/>
          <w:sz w:val="24"/>
          <w:szCs w:val="24"/>
          <w:highlight w:val="white"/>
        </w:rPr>
        <w:t>L’articulation entre lois antérieure et postérieure est régie par l’article 2222 alinéa 2 du Code civil, qui dispose que :</w:t>
      </w:r>
      <w:r>
        <w:rPr>
          <w:rFonts w:ascii="Roboto" w:eastAsia="Roboto" w:hAnsi="Roboto" w:cs="Roboto"/>
          <w:sz w:val="24"/>
          <w:szCs w:val="24"/>
        </w:rPr>
        <w:t xml:space="preserve"> </w:t>
      </w:r>
      <w:r>
        <w:rPr>
          <w:rFonts w:ascii="Roboto" w:eastAsia="Roboto" w:hAnsi="Roboto" w:cs="Roboto"/>
          <w:sz w:val="24"/>
          <w:szCs w:val="24"/>
          <w:highlight w:val="white"/>
        </w:rPr>
        <w:t xml:space="preserve">« </w:t>
      </w:r>
      <w:r>
        <w:rPr>
          <w:rFonts w:ascii="Roboto" w:eastAsia="Roboto" w:hAnsi="Roboto" w:cs="Roboto"/>
          <w:i/>
          <w:sz w:val="24"/>
          <w:szCs w:val="24"/>
        </w:rPr>
        <w:t>En cas de réduction de la durée du délai de prescription ou du délai de forclusion, ce nouveau délai court à compter du jour de l’entrée en vigueur de la loi nouvelle, sans que la durée totale puisse excéder la durée prévue par la loi antérieure.</w:t>
      </w:r>
      <w:r>
        <w:rPr>
          <w:rFonts w:ascii="Roboto" w:eastAsia="Roboto" w:hAnsi="Roboto" w:cs="Roboto"/>
          <w:sz w:val="24"/>
          <w:szCs w:val="24"/>
          <w:highlight w:val="white"/>
        </w:rPr>
        <w:t xml:space="preserve"> »</w:t>
      </w:r>
    </w:p>
    <w:p w14:paraId="2EE7C7D9"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 </w:t>
      </w:r>
    </w:p>
    <w:p w14:paraId="0CEA973E" w14:textId="77777777" w:rsidR="000E4DCE" w:rsidRDefault="00000000">
      <w:pPr>
        <w:jc w:val="both"/>
        <w:rPr>
          <w:rFonts w:ascii="Roboto" w:eastAsia="Roboto" w:hAnsi="Roboto" w:cs="Roboto"/>
          <w:sz w:val="24"/>
          <w:szCs w:val="24"/>
          <w:highlight w:val="white"/>
        </w:rPr>
      </w:pPr>
      <w:r>
        <w:rPr>
          <w:rFonts w:ascii="Roboto" w:eastAsia="Roboto" w:hAnsi="Roboto" w:cs="Roboto"/>
          <w:sz w:val="24"/>
          <w:szCs w:val="24"/>
          <w:highlight w:val="white"/>
        </w:rPr>
        <w:t xml:space="preserve">En conséquence, une action introduite en 2020 peut porter sur les charges impayées s’étalant sur une période de 10 ans maximum, c’est-à-dire qu’il est tout à fait possible de demander le recouvrement de celles des années </w:t>
      </w:r>
      <w:r>
        <w:rPr>
          <w:rFonts w:ascii="Roboto" w:eastAsia="Roboto" w:hAnsi="Roboto" w:cs="Roboto"/>
          <w:color w:val="999999"/>
          <w:sz w:val="24"/>
          <w:szCs w:val="24"/>
          <w:highlight w:val="white"/>
        </w:rPr>
        <w:t>(années)</w:t>
      </w:r>
      <w:r>
        <w:rPr>
          <w:rFonts w:ascii="Roboto" w:eastAsia="Roboto" w:hAnsi="Roboto" w:cs="Roboto"/>
          <w:sz w:val="24"/>
          <w:szCs w:val="24"/>
          <w:highlight w:val="white"/>
        </w:rPr>
        <w:t xml:space="preserve">. </w:t>
      </w:r>
    </w:p>
    <w:p w14:paraId="1EB8DCF9" w14:textId="77777777" w:rsidR="000E4DCE" w:rsidRDefault="00000000">
      <w:pPr>
        <w:jc w:val="both"/>
        <w:rPr>
          <w:rFonts w:ascii="Roboto" w:eastAsia="Roboto" w:hAnsi="Roboto" w:cs="Roboto"/>
          <w:b/>
          <w:sz w:val="24"/>
          <w:szCs w:val="24"/>
        </w:rPr>
      </w:pPr>
      <w:r>
        <w:rPr>
          <w:rFonts w:ascii="Roboto" w:eastAsia="Roboto" w:hAnsi="Roboto" w:cs="Roboto"/>
          <w:b/>
          <w:sz w:val="24"/>
          <w:szCs w:val="24"/>
        </w:rPr>
        <w:t xml:space="preserve"> </w:t>
      </w:r>
    </w:p>
    <w:p w14:paraId="3501FFD2" w14:textId="77777777" w:rsidR="000E4DCE" w:rsidRDefault="00000000">
      <w:pPr>
        <w:jc w:val="both"/>
        <w:rPr>
          <w:rFonts w:ascii="Roboto" w:eastAsia="Roboto" w:hAnsi="Roboto" w:cs="Roboto"/>
          <w:sz w:val="24"/>
          <w:szCs w:val="24"/>
          <w:highlight w:val="white"/>
        </w:rPr>
      </w:pPr>
      <w:r>
        <w:rPr>
          <w:rFonts w:ascii="Roboto" w:eastAsia="Roboto" w:hAnsi="Roboto" w:cs="Roboto"/>
          <w:sz w:val="24"/>
          <w:szCs w:val="24"/>
        </w:rPr>
        <w:lastRenderedPageBreak/>
        <w:t xml:space="preserve">Nous vous rappelons que, depuis la loi ELAN du 23 novembre 2018 et sa modification de </w:t>
      </w:r>
      <w:r>
        <w:rPr>
          <w:rFonts w:ascii="Roboto" w:eastAsia="Roboto" w:hAnsi="Roboto" w:cs="Roboto"/>
          <w:sz w:val="24"/>
          <w:szCs w:val="24"/>
          <w:highlight w:val="white"/>
        </w:rPr>
        <w:t xml:space="preserve">l’article 19-2 de la Loi du 10 juillet 1965, </w:t>
      </w:r>
      <w:r>
        <w:rPr>
          <w:rFonts w:ascii="Roboto" w:eastAsia="Roboto" w:hAnsi="Roboto" w:cs="Roboto"/>
          <w:sz w:val="24"/>
          <w:szCs w:val="24"/>
        </w:rPr>
        <w:t>le défaut de versement d’une provision à sa date d’exigibilité dans un délai de 30 jours justifie la condamnation du copropriétaire non seulement au paiement de l’ensemble de l’arriéré des charges dues, mais aussi de manière anticipée au règlement de toutes les autres charges futures qui ont été votées.</w:t>
      </w:r>
      <w:r>
        <w:rPr>
          <w:rFonts w:ascii="Roboto" w:eastAsia="Roboto" w:hAnsi="Roboto" w:cs="Roboto"/>
          <w:sz w:val="24"/>
          <w:szCs w:val="24"/>
          <w:highlight w:val="white"/>
        </w:rPr>
        <w:t xml:space="preserve"> </w:t>
      </w:r>
    </w:p>
    <w:p w14:paraId="28BFDA15" w14:textId="77777777" w:rsidR="000E4DCE" w:rsidRDefault="00000000">
      <w:pPr>
        <w:jc w:val="both"/>
        <w:rPr>
          <w:rFonts w:ascii="Roboto" w:eastAsia="Roboto" w:hAnsi="Roboto" w:cs="Roboto"/>
          <w:b/>
          <w:sz w:val="24"/>
          <w:szCs w:val="24"/>
        </w:rPr>
      </w:pPr>
      <w:r>
        <w:rPr>
          <w:rFonts w:ascii="Roboto" w:eastAsia="Roboto" w:hAnsi="Roboto" w:cs="Roboto"/>
          <w:b/>
          <w:sz w:val="24"/>
          <w:szCs w:val="24"/>
        </w:rPr>
        <w:t xml:space="preserve"> </w:t>
      </w:r>
    </w:p>
    <w:p w14:paraId="631E1358" w14:textId="77777777" w:rsidR="000E4DCE" w:rsidRDefault="00000000">
      <w:pPr>
        <w:jc w:val="both"/>
        <w:rPr>
          <w:rFonts w:ascii="Roboto" w:eastAsia="Roboto" w:hAnsi="Roboto" w:cs="Roboto"/>
          <w:b/>
          <w:sz w:val="24"/>
          <w:szCs w:val="24"/>
          <w:highlight w:val="white"/>
        </w:rPr>
      </w:pPr>
      <w:r>
        <w:rPr>
          <w:rFonts w:ascii="Roboto" w:eastAsia="Roboto" w:hAnsi="Roboto" w:cs="Roboto"/>
          <w:b/>
          <w:sz w:val="24"/>
          <w:szCs w:val="24"/>
        </w:rPr>
        <w:t>Nous vous mettons donc en demeure de procéder au règlement de votre dette sous 30 jours, après quoi nous nous verrons dans l’obligation de procéder à une</w:t>
      </w:r>
      <w:r>
        <w:rPr>
          <w:rFonts w:ascii="Roboto" w:eastAsia="Roboto" w:hAnsi="Roboto" w:cs="Roboto"/>
          <w:b/>
          <w:sz w:val="24"/>
          <w:szCs w:val="24"/>
          <w:highlight w:val="white"/>
        </w:rPr>
        <w:t xml:space="preserve"> assignation à une audience tenue aux jour et heure prévus à cet effet, d’après la nouvelle procédure accélérée au fond de l’article 481-1 du Code de procédure civile. </w:t>
      </w:r>
    </w:p>
    <w:p w14:paraId="13D90E42"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 </w:t>
      </w:r>
    </w:p>
    <w:p w14:paraId="0904B40D" w14:textId="77777777" w:rsidR="000E4DCE" w:rsidRDefault="00000000">
      <w:pPr>
        <w:jc w:val="both"/>
        <w:rPr>
          <w:rFonts w:ascii="Roboto" w:eastAsia="Roboto" w:hAnsi="Roboto" w:cs="Roboto"/>
          <w:i/>
          <w:sz w:val="24"/>
          <w:szCs w:val="24"/>
          <w:highlight w:val="white"/>
        </w:rPr>
      </w:pPr>
      <w:r>
        <w:rPr>
          <w:rFonts w:ascii="Roboto" w:eastAsia="Roboto" w:hAnsi="Roboto" w:cs="Roboto"/>
          <w:sz w:val="24"/>
          <w:szCs w:val="24"/>
        </w:rPr>
        <w:t xml:space="preserve">Nous vous précisons par ailleurs que d’après l’article 10-1 de la loi du 10 Juillet 1965, </w:t>
      </w:r>
      <w:r>
        <w:rPr>
          <w:rFonts w:ascii="Roboto" w:eastAsia="Roboto" w:hAnsi="Roboto" w:cs="Roboto"/>
          <w:i/>
          <w:sz w:val="24"/>
          <w:szCs w:val="24"/>
          <w:highlight w:val="white"/>
        </w:rPr>
        <w:t xml:space="preserve">« sont imputables au seul copropriétaire concerné les frais nécessaires exposés par le syndicat, notamment les frais de mise en demeure, de relance et de prise d’hypothèque à compter de la mise en demeure, pour le recouvrement d’une créance justifiée à l’encontre d’un copropriétaire ainsi que les droits et émoluments des actes des huissiers de justice et le droit de recouvrement ou d’encaissement à la charge du débiteur ». </w:t>
      </w:r>
    </w:p>
    <w:p w14:paraId="147C016F"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 </w:t>
      </w:r>
    </w:p>
    <w:p w14:paraId="744FC754"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Dans l’attente de votre règlement, nous vous prions de croire, Madame, Monsieur, à l’assurance de ma considération distinguée. </w:t>
      </w:r>
    </w:p>
    <w:p w14:paraId="339ED0B6" w14:textId="77777777" w:rsidR="000E4DCE" w:rsidRDefault="00000000">
      <w:pPr>
        <w:jc w:val="both"/>
        <w:rPr>
          <w:rFonts w:ascii="Roboto" w:eastAsia="Roboto" w:hAnsi="Roboto" w:cs="Roboto"/>
          <w:sz w:val="24"/>
          <w:szCs w:val="24"/>
        </w:rPr>
      </w:pPr>
      <w:r>
        <w:rPr>
          <w:rFonts w:ascii="Roboto" w:eastAsia="Roboto" w:hAnsi="Roboto" w:cs="Roboto"/>
          <w:sz w:val="24"/>
          <w:szCs w:val="24"/>
        </w:rPr>
        <w:t xml:space="preserve"> </w:t>
      </w:r>
    </w:p>
    <w:p w14:paraId="6EB99EDF" w14:textId="77777777" w:rsidR="000E4DCE" w:rsidRDefault="000E4DCE">
      <w:pPr>
        <w:jc w:val="both"/>
        <w:rPr>
          <w:rFonts w:ascii="Roboto" w:eastAsia="Roboto" w:hAnsi="Roboto" w:cs="Roboto"/>
          <w:sz w:val="24"/>
          <w:szCs w:val="24"/>
        </w:rPr>
      </w:pPr>
    </w:p>
    <w:p w14:paraId="6210B929" w14:textId="77777777" w:rsidR="000E4DCE" w:rsidRDefault="00000000">
      <w:pPr>
        <w:jc w:val="right"/>
        <w:rPr>
          <w:rFonts w:ascii="Roboto" w:eastAsia="Roboto" w:hAnsi="Roboto" w:cs="Roboto"/>
          <w:sz w:val="24"/>
          <w:szCs w:val="24"/>
        </w:rPr>
      </w:pPr>
      <w:r>
        <w:rPr>
          <w:rFonts w:ascii="Roboto" w:eastAsia="Roboto" w:hAnsi="Roboto" w:cs="Roboto"/>
          <w:sz w:val="24"/>
          <w:szCs w:val="24"/>
        </w:rPr>
        <w:t xml:space="preserve"> Signature</w:t>
      </w:r>
    </w:p>
    <w:p w14:paraId="369C4651" w14:textId="77777777" w:rsidR="000E4DCE" w:rsidRDefault="000E4DCE">
      <w:pPr>
        <w:rPr>
          <w:rFonts w:ascii="Roboto" w:eastAsia="Roboto" w:hAnsi="Roboto" w:cs="Roboto"/>
          <w:sz w:val="24"/>
          <w:szCs w:val="24"/>
        </w:rPr>
      </w:pPr>
    </w:p>
    <w:sectPr w:rsidR="000E4DC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4DCE"/>
    <w:rsid w:val="000E4DCE"/>
    <w:rsid w:val="005B298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FFBD2B1"/>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516</Words>
  <Characters>2840</Characters>
  <Application>Microsoft Office Word</Application>
  <DocSecurity>0</DocSecurity>
  <Lines>23</Lines>
  <Paragraphs>6</Paragraphs>
  <ScaleCrop>false</ScaleCrop>
  <Company/>
  <LinksUpToDate>false</LinksUpToDate>
  <CharactersWithSpaces>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2023-03-30T09:06:00Z</dcterms:created>
  <dcterms:modified xsi:type="dcterms:W3CDTF">2023-03-30T09:06:00Z</dcterms:modified>
</cp:coreProperties>
</file>